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0"/>
      </w:pPr>
    </w:p>
    <w:p>
      <w:pPr>
        <w:spacing w:after="100" w:before="0"/>
      </w:pPr>
    </w:p>
    <w:p>
      <w:pPr>
        <w:spacing w:after="100" w:before="0"/>
      </w:pPr>
    </w:p>
    <w:p>
      <w:pPr>
        <w:spacing w:after="60" w:before="0"/>
        <w:jc w:val="center"/>
      </w:pPr>
      <w:r>
        <w:rPr>
          <w:rFonts w:ascii="Arial" w:cs="Arial" w:eastAsia="Arial" w:hAnsi="Arial"/>
          <w:b/>
          <w:bCs/>
          <w:color w:val="00789A"/>
          <w:sz w:val="28"/>
          <w:szCs w:val="28"/>
        </w:rPr>
        <w:t xml:space="preserve">THE CLOUDORS</w:t>
      </w:r>
    </w:p>
    <w:p>
      <w:pPr>
        <w:spacing w:after="120" w:before="0"/>
        <w:jc w:val="center"/>
      </w:pPr>
      <w:r>
        <w:rPr>
          <w:rFonts w:ascii="Arial" w:cs="Arial" w:eastAsia="Arial" w:hAnsi="Arial"/>
          <w:b/>
          <w:bCs/>
          <w:color w:val="003366"/>
          <w:sz w:val="52"/>
          <w:szCs w:val="52"/>
        </w:rPr>
        <w:t xml:space="preserve">MANAGED UNLIMITED CLOUD SERVICES</w:t>
      </w:r>
    </w:p>
    <w:p>
      <w:pPr>
        <w:spacing w:after="60" w:before="0"/>
        <w:jc w:val="center"/>
      </w:pPr>
      <w:r>
        <w:rPr>
          <w:rFonts w:ascii="Arial" w:cs="Arial" w:eastAsia="Arial" w:hAnsi="Arial"/>
          <w:color w:val="00789A"/>
          <w:sz w:val="32"/>
          <w:szCs w:val="32"/>
        </w:rPr>
        <w:t xml:space="preserve">Service Brief</w:t>
      </w:r>
    </w:p>
    <w:p>
      <w:pPr>
        <w:pBdr>
          <w:bottom w:val="single" w:color="00789A" w:sz="12" w:space="4"/>
        </w:pBdr>
        <w:spacing w:after="400" w:before="0"/>
        <w:jc w:val="center"/>
      </w:pPr>
      <w:r>
        <w:rPr>
          <w:rFonts w:ascii="Arial" w:cs="Arial" w:eastAsia="Arial" w:hAnsi="Arial"/>
          <w:i/>
          <w:iCs/>
          <w:color w:val="555555"/>
          <w:sz w:val="24"/>
          <w:szCs w:val="24"/>
        </w:rPr>
        <w:t xml:space="preserve">SLAs · RACI · Governance &amp; Engagement Model</w:t>
      </w:r>
    </w:p>
    <w:p>
      <w:pPr>
        <w:spacing w:after="100" w:before="0"/>
      </w:pPr>
    </w:p>
    <w:p>
      <w:pPr>
        <w:spacing w:after="100" w:before="0"/>
      </w:pPr>
    </w:p>
    <w:p>
      <w:pPr>
        <w:spacing w:after="100" w:before="0"/>
      </w:pPr>
    </w:p>
    <w:p>
      <w:pPr>
        <w:spacing w:after="60" w:before="0"/>
        <w:jc w:val="center"/>
      </w:pPr>
      <w:r>
        <w:rPr>
          <w:rFonts w:ascii="Arial" w:cs="Arial" w:eastAsia="Arial" w:hAnsi="Arial"/>
          <w:color w:val="444444"/>
          <w:sz w:val="22"/>
          <w:szCs w:val="22"/>
        </w:rPr>
        <w:t xml:space="preserve">Oracle Cloud Partner — Egypt &amp; Saudi Arabia</w:t>
      </w:r>
    </w:p>
    <w:p>
      <w:pPr>
        <w:spacing w:after="60" w:before="0"/>
        <w:jc w:val="center"/>
      </w:pPr>
      <w:r>
        <w:rPr>
          <w:rFonts w:ascii="Arial" w:cs="Arial" w:eastAsia="Arial" w:hAnsi="Arial"/>
          <w:color w:val="444444"/>
          <w:sz w:val="22"/>
          <w:szCs w:val="22"/>
        </w:rPr>
        <w:t xml:space="preserve">sales@thecloudors.com  ·  +966 538 192 590</w:t>
      </w:r>
    </w:p>
    <w:p>
      <w:pPr>
        <w:spacing w:after="60" w:before="0"/>
        <w:jc w:val="center"/>
      </w:pPr>
      <w:r>
        <w:rPr>
          <w:rFonts w:ascii="Arial" w:cs="Arial" w:eastAsia="Arial" w:hAnsi="Arial"/>
          <w:color w:val="00789A"/>
          <w:sz w:val="22"/>
          <w:szCs w:val="22"/>
        </w:rPr>
        <w:t xml:space="preserve">www.thecloudors.com</w:t>
      </w:r>
    </w:p>
    <w:p>
      <w:r>
        <w:br w:type="page"/>
      </w:r>
    </w:p>
    <w:p>
      <w:pPr>
        <w:pStyle w:val="Heading1"/>
        <w:spacing w:after="80" w:before="480"/>
      </w:pPr>
      <w:r>
        <w:rPr>
          <w:rFonts w:ascii="Arial" w:cs="Arial" w:eastAsia="Arial" w:hAnsi="Arial"/>
          <w:b/>
          <w:bCs/>
          <w:color w:val="003366"/>
          <w:sz w:val="36"/>
          <w:szCs w:val="36"/>
        </w:rPr>
        <w:t xml:space="preserve">1. Executive Summary</w:t>
      </w:r>
    </w:p>
    <w:p>
      <w:pPr>
        <w:pBdr>
          <w:bottom w:val="single" w:color="00789A" w:sz="8" w:space="4"/>
        </w:pBdr>
        <w:spacing w:after="160" w:before="0"/>
      </w:pPr>
    </w:p>
    <w:p>
      <w:pPr>
        <w:spacing w:after="100" w:before="60"/>
      </w:pPr>
      <w:r>
        <w:rPr>
          <w:rFonts w:ascii="Arial" w:cs="Arial" w:eastAsia="Arial" w:hAnsi="Arial"/>
          <w:sz w:val="22"/>
          <w:szCs w:val="22"/>
        </w:rPr>
        <w:t xml:space="preserve">The Cloudors Managed Unlimited Cloud Services (MUCS) is a subscription-based managed services programme that provides Oracle Cloud customers with continuous, expert-led support across ERP, HCM, EPM, CX, and SCM — without ticket caps, hidden limits, or surprise charges.</w:t>
      </w:r>
    </w:p>
    <w:p>
      <w:pPr>
        <w:spacing w:after="100" w:before="0"/>
      </w:pPr>
    </w:p>
    <w:p>
      <w:pPr>
        <w:spacing w:after="100" w:before="60"/>
      </w:pPr>
      <w:r>
        <w:rPr>
          <w:rFonts w:ascii="Arial" w:cs="Arial" w:eastAsia="Arial" w:hAnsi="Arial"/>
          <w:sz w:val="22"/>
          <w:szCs w:val="22"/>
        </w:rPr>
        <w:t xml:space="preserve">MUCS replaces reactive, break-fix support with a proactive partnership model. A dedicated, Oracle-certified team that already knows your environment handles incidents, quarterly updates, functional configuration, user access, and system health monitoring — all within clearly defined SLAs, a structured RACI, and a governance cadence that keeps every stakeholder informed.</w:t>
      </w:r>
    </w:p>
    <w:p>
      <w:pPr>
        <w:spacing w:after="100" w:before="0"/>
      </w:pPr>
    </w:p>
    <w:p>
      <w:pPr>
        <w:spacing w:after="100" w:before="60"/>
      </w:pPr>
      <w:r>
        <w:rPr>
          <w:rFonts w:ascii="Arial" w:cs="Arial" w:eastAsia="Arial" w:hAnsi="Arial"/>
          <w:sz w:val="22"/>
          <w:szCs w:val="22"/>
        </w:rPr>
        <w:t xml:space="preserve">This document sets out the full service brief for MUCS, including:</w:t>
      </w:r>
    </w:p>
    <w:p>
      <w:pPr>
        <w:pStyle w:val="ListParagraph"/>
        <w:numPr>
          <w:ilvl w:val="0"/>
          <w:numId w:val="2"/>
        </w:numPr>
        <w:spacing w:after="60" w:before="40"/>
      </w:pPr>
      <w:r>
        <w:rPr>
          <w:rFonts w:ascii="Arial" w:cs="Arial" w:eastAsia="Arial" w:hAnsi="Arial"/>
          <w:sz w:val="22"/>
          <w:szCs w:val="22"/>
        </w:rPr>
        <w:t xml:space="preserve">Service scope and inclusions by Oracle Cloud module</w:t>
      </w:r>
    </w:p>
    <w:p>
      <w:pPr>
        <w:pStyle w:val="ListParagraph"/>
        <w:numPr>
          <w:ilvl w:val="0"/>
          <w:numId w:val="2"/>
        </w:numPr>
        <w:spacing w:after="60" w:before="40"/>
      </w:pPr>
      <w:r>
        <w:rPr>
          <w:rFonts w:ascii="Arial" w:cs="Arial" w:eastAsia="Arial" w:hAnsi="Arial"/>
          <w:sz w:val="22"/>
          <w:szCs w:val="22"/>
        </w:rPr>
        <w:t xml:space="preserve">Service Level Agreements (SLAs) by priority tier</w:t>
      </w:r>
    </w:p>
    <w:p>
      <w:pPr>
        <w:pStyle w:val="ListParagraph"/>
        <w:numPr>
          <w:ilvl w:val="0"/>
          <w:numId w:val="2"/>
        </w:numPr>
        <w:spacing w:after="60" w:before="40"/>
      </w:pPr>
      <w:r>
        <w:rPr>
          <w:rFonts w:ascii="Arial" w:cs="Arial" w:eastAsia="Arial" w:hAnsi="Arial"/>
          <w:sz w:val="22"/>
          <w:szCs w:val="22"/>
        </w:rPr>
        <w:t xml:space="preserve">RACI matrix defining responsibilities across Cloudors and client teams</w:t>
      </w:r>
    </w:p>
    <w:p>
      <w:pPr>
        <w:pStyle w:val="ListParagraph"/>
        <w:numPr>
          <w:ilvl w:val="0"/>
          <w:numId w:val="2"/>
        </w:numPr>
        <w:spacing w:after="60" w:before="40"/>
      </w:pPr>
      <w:r>
        <w:rPr>
          <w:rFonts w:ascii="Arial" w:cs="Arial" w:eastAsia="Arial" w:hAnsi="Arial"/>
          <w:sz w:val="22"/>
          <w:szCs w:val="22"/>
        </w:rPr>
        <w:t xml:space="preserve">Governance and engagement model, including meeting cadence and escalation paths</w:t>
      </w:r>
    </w:p>
    <w:p>
      <w:pPr>
        <w:spacing w:after="100" w:before="0"/>
      </w:pPr>
    </w:p>
    <w:p>
      <w:r>
        <w:br w:type="page"/>
      </w:r>
    </w:p>
    <w:p>
      <w:pPr>
        <w:pStyle w:val="Heading1"/>
        <w:spacing w:after="80" w:before="480"/>
      </w:pPr>
      <w:r>
        <w:rPr>
          <w:rFonts w:ascii="Arial" w:cs="Arial" w:eastAsia="Arial" w:hAnsi="Arial"/>
          <w:b/>
          <w:bCs/>
          <w:color w:val="003366"/>
          <w:sz w:val="36"/>
          <w:szCs w:val="36"/>
        </w:rPr>
        <w:t xml:space="preserve">2. Service Overview</w:t>
      </w:r>
    </w:p>
    <w:p>
      <w:pPr>
        <w:pBdr>
          <w:bottom w:val="single" w:color="00789A" w:sz="8" w:space="4"/>
        </w:pBdr>
        <w:spacing w:after="160" w:before="0"/>
      </w:pPr>
    </w:p>
    <w:p>
      <w:pPr>
        <w:spacing w:after="100" w:before="60"/>
      </w:pPr>
      <w:r>
        <w:rPr>
          <w:rFonts w:ascii="Arial" w:cs="Arial" w:eastAsia="Arial" w:hAnsi="Arial"/>
          <w:sz w:val="22"/>
          <w:szCs w:val="22"/>
        </w:rPr>
        <w:t xml:space="preserve">MUCS is structured around four core service pillars:</w:t>
      </w:r>
    </w:p>
    <w:p>
      <w:pPr>
        <w:spacing w:after="100" w:before="0"/>
      </w:pPr>
    </w:p>
    <w:p>
      <w:pPr>
        <w:pStyle w:val="Heading2"/>
        <w:spacing w:after="80" w:before="320"/>
      </w:pPr>
      <w:r>
        <w:rPr>
          <w:rFonts w:ascii="Arial" w:cs="Arial" w:eastAsia="Arial" w:hAnsi="Arial"/>
          <w:b/>
          <w:bCs/>
          <w:color w:val="00789A"/>
          <w:sz w:val="26"/>
          <w:szCs w:val="26"/>
        </w:rPr>
        <w:t xml:space="preserve">2.1  Unlimited Support Requests</w:t>
      </w:r>
    </w:p>
    <w:p>
      <w:pPr>
        <w:spacing w:after="100" w:before="60"/>
      </w:pPr>
      <w:r>
        <w:rPr>
          <w:rFonts w:ascii="Arial" w:cs="Arial" w:eastAsia="Arial" w:hAnsi="Arial"/>
          <w:sz w:val="22"/>
          <w:szCs w:val="22"/>
        </w:rPr>
        <w:t xml:space="preserve">Clients may raise as many support tickets as their teams require. There are no monthly volume caps, no tiered response queues based on usage, and no retrospective charges for high-volume months. All requests are logged, tracked, and reported on a monthly basis.</w:t>
      </w:r>
    </w:p>
    <w:p>
      <w:pPr>
        <w:spacing w:after="100" w:before="0"/>
      </w:pPr>
    </w:p>
    <w:p>
      <w:pPr>
        <w:pStyle w:val="Heading2"/>
        <w:spacing w:after="80" w:before="320"/>
      </w:pPr>
      <w:r>
        <w:rPr>
          <w:rFonts w:ascii="Arial" w:cs="Arial" w:eastAsia="Arial" w:hAnsi="Arial"/>
          <w:b/>
          <w:bCs/>
          <w:color w:val="00789A"/>
          <w:sz w:val="26"/>
          <w:szCs w:val="26"/>
        </w:rPr>
        <w:t xml:space="preserve">2.2  Dedicated Oracle-Certified Team</w:t>
      </w:r>
    </w:p>
    <w:p>
      <w:pPr>
        <w:spacing w:after="100" w:before="60"/>
      </w:pPr>
      <w:r>
        <w:rPr>
          <w:rFonts w:ascii="Arial" w:cs="Arial" w:eastAsia="Arial" w:hAnsi="Arial"/>
          <w:sz w:val="22"/>
          <w:szCs w:val="22"/>
        </w:rPr>
        <w:t xml:space="preserve">Each MUCS client is assigned a named team — a Project Manager, one or more Functional Consultants, and a Technical Consultant — who build institutional knowledge of the client environment over time. Clients do not interact with a shared generalist pool; they work with a team that understands their configuration, business processes, and history.</w:t>
      </w:r>
    </w:p>
    <w:p>
      <w:pPr>
        <w:spacing w:after="100" w:before="0"/>
      </w:pPr>
    </w:p>
    <w:p>
      <w:pPr>
        <w:pStyle w:val="Heading2"/>
        <w:spacing w:after="80" w:before="320"/>
      </w:pPr>
      <w:r>
        <w:rPr>
          <w:rFonts w:ascii="Arial" w:cs="Arial" w:eastAsia="Arial" w:hAnsi="Arial"/>
          <w:b/>
          <w:bCs/>
          <w:color w:val="00789A"/>
          <w:sz w:val="26"/>
          <w:szCs w:val="26"/>
        </w:rPr>
        <w:t xml:space="preserve">2.3  Proactive System Management</w:t>
      </w:r>
    </w:p>
    <w:p>
      <w:pPr>
        <w:spacing w:after="100" w:before="60"/>
      </w:pPr>
      <w:r>
        <w:rPr>
          <w:rFonts w:ascii="Arial" w:cs="Arial" w:eastAsia="Arial" w:hAnsi="Arial"/>
          <w:sz w:val="22"/>
          <w:szCs w:val="22"/>
        </w:rPr>
        <w:t xml:space="preserve">MUCS is designed around prevention, not reaction. The team monitors system health continuously, manages every Oracle quarterly update (assessment, testing coordination, and deployment), and surfaces configuration drift, integration failures, and process risks before they become incidents.</w:t>
      </w:r>
    </w:p>
    <w:p>
      <w:pPr>
        <w:spacing w:after="100" w:before="0"/>
      </w:pPr>
    </w:p>
    <w:p>
      <w:pPr>
        <w:pStyle w:val="Heading2"/>
        <w:spacing w:after="80" w:before="320"/>
      </w:pPr>
      <w:r>
        <w:rPr>
          <w:rFonts w:ascii="Arial" w:cs="Arial" w:eastAsia="Arial" w:hAnsi="Arial"/>
          <w:b/>
          <w:bCs/>
          <w:color w:val="00789A"/>
          <w:sz w:val="26"/>
          <w:szCs w:val="26"/>
        </w:rPr>
        <w:t xml:space="preserve">2.4  Reporting and Visibility</w:t>
      </w:r>
    </w:p>
    <w:p>
      <w:pPr>
        <w:spacing w:after="100" w:before="60"/>
      </w:pPr>
      <w:r>
        <w:rPr>
          <w:rFonts w:ascii="Arial" w:cs="Arial" w:eastAsia="Arial" w:hAnsi="Arial"/>
          <w:sz w:val="22"/>
          <w:szCs w:val="22"/>
        </w:rPr>
        <w:t xml:space="preserve">Clients receive a structured Monthly Activity and Status Report without needing to request one. The report covers tickets handled, updates applied, open items, system status, and licence utilisation insights. Regular governance meetings provide additional oversight and strategic alignment.</w:t>
      </w:r>
    </w:p>
    <w:p>
      <w:pPr>
        <w:spacing w:after="100" w:before="0"/>
      </w:pPr>
    </w:p>
    <w:p>
      <w:r>
        <w:br w:type="page"/>
      </w:r>
    </w:p>
    <w:p>
      <w:pPr>
        <w:pStyle w:val="Heading1"/>
        <w:spacing w:after="80" w:before="480"/>
      </w:pPr>
      <w:r>
        <w:rPr>
          <w:rFonts w:ascii="Arial" w:cs="Arial" w:eastAsia="Arial" w:hAnsi="Arial"/>
          <w:b/>
          <w:bCs/>
          <w:color w:val="003366"/>
          <w:sz w:val="36"/>
          <w:szCs w:val="36"/>
        </w:rPr>
        <w:t xml:space="preserve">3. Service Scope by Module</w:t>
      </w:r>
    </w:p>
    <w:p>
      <w:pPr>
        <w:pBdr>
          <w:bottom w:val="single" w:color="00789A" w:sz="8" w:space="4"/>
        </w:pBdr>
        <w:spacing w:after="160" w:before="0"/>
      </w:pPr>
    </w:p>
    <w:p>
      <w:pPr>
        <w:spacing w:after="100" w:before="60"/>
      </w:pPr>
      <w:r>
        <w:rPr>
          <w:rFonts w:ascii="Arial" w:cs="Arial" w:eastAsia="Arial" w:hAnsi="Arial"/>
          <w:sz w:val="22"/>
          <w:szCs w:val="22"/>
        </w:rPr>
        <w:t xml:space="preserve">The table below defines what is covered under the standard MUCS agreement and what requires a separate Statement of Work (SOW).</w:t>
      </w:r>
    </w:p>
    <w:p>
      <w:pPr>
        <w:spacing w:after="1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00"/>
        <w:gridCol w:w="3760"/>
      </w:tblGrid>
      <w:tr>
        <w:trPr>
          <w:tblHeader/>
        </w:trPr>
        <w:tc>
          <w:tcPr>
            <w:tcW w:type="dxa" w:w="200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Module</w:t>
            </w:r>
          </w:p>
        </w:tc>
        <w:tc>
          <w:tcPr>
            <w:tcW w:type="dxa" w:w="360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In Scope</w:t>
            </w:r>
          </w:p>
        </w:tc>
        <w:tc>
          <w:tcPr>
            <w:tcW w:type="dxa" w:w="376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Exclusions (require separate SOW)</w:t>
            </w:r>
          </w:p>
        </w:tc>
      </w:tr>
      <w:tr>
        <w:trPr>
          <w:tblHeader w:val="false"/>
        </w:trPr>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Oracle ERP Cloud</w:t>
            </w:r>
          </w:p>
        </w:tc>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Financials, Procurement, Projects – config, incidents, workflows, reporting</w:t>
            </w:r>
          </w:p>
        </w:tc>
        <w:tc>
          <w:tcPr>
            <w:tcW w:type="dxa" w:w="3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Custom development, data migration</w:t>
            </w:r>
          </w:p>
        </w:tc>
      </w:tr>
      <w:tr>
        <w:trPr>
          <w:tblHeader w:val="false"/>
        </w:trPr>
        <w:tc>
          <w:tcPr>
            <w:tcW w:type="dxa" w:w="20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Oracle HCM Cloud</w:t>
            </w:r>
          </w:p>
        </w:tc>
        <w:tc>
          <w:tcPr>
            <w:tcW w:type="dxa" w:w="36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Core HR, Payroll, Absence, Talent – config, security roles, workflow management</w:t>
            </w:r>
          </w:p>
        </w:tc>
        <w:tc>
          <w:tcPr>
            <w:tcW w:type="dxa" w:w="376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Integration to 3rd-party payroll providers</w:t>
            </w:r>
          </w:p>
        </w:tc>
      </w:tr>
      <w:tr>
        <w:trPr>
          <w:tblHeader w:val="false"/>
        </w:trPr>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Oracle EPM Cloud</w:t>
            </w:r>
          </w:p>
        </w:tc>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PBCS/EPBCS planning, FCCS, Narrative Reporting – model maintenance, load rules</w:t>
            </w:r>
          </w:p>
        </w:tc>
        <w:tc>
          <w:tcPr>
            <w:tcW w:type="dxa" w:w="3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New EPM module implementation</w:t>
            </w:r>
          </w:p>
        </w:tc>
      </w:tr>
      <w:tr>
        <w:trPr>
          <w:tblHeader w:val="false"/>
        </w:trPr>
        <w:tc>
          <w:tcPr>
            <w:tcW w:type="dxa" w:w="20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Oracle CX Cloud</w:t>
            </w:r>
          </w:p>
        </w:tc>
        <w:tc>
          <w:tcPr>
            <w:tcW w:type="dxa" w:w="36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Sales, Service, Marketing – config, user access, automation rules</w:t>
            </w:r>
          </w:p>
        </w:tc>
        <w:tc>
          <w:tcPr>
            <w:tcW w:type="dxa" w:w="376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Complex CPQ customisation</w:t>
            </w:r>
          </w:p>
        </w:tc>
      </w:tr>
      <w:tr>
        <w:trPr>
          <w:tblHeader w:val="false"/>
        </w:trPr>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Oracle SCM Cloud</w:t>
            </w:r>
          </w:p>
        </w:tc>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Inventory, Purchasing, Order Management – config and issue management</w:t>
            </w:r>
          </w:p>
        </w:tc>
        <w:tc>
          <w:tcPr>
            <w:tcW w:type="dxa" w:w="3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New WMS implementation</w:t>
            </w:r>
          </w:p>
        </w:tc>
      </w:tr>
      <w:tr>
        <w:trPr>
          <w:tblHeader w:val="false"/>
        </w:trPr>
        <w:tc>
          <w:tcPr>
            <w:tcW w:type="dxa" w:w="20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Integrations</w:t>
            </w:r>
          </w:p>
        </w:tc>
        <w:tc>
          <w:tcPr>
            <w:tcW w:type="dxa" w:w="36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Monitoring existing integrations, incident resolution</w:t>
            </w:r>
          </w:p>
        </w:tc>
        <w:tc>
          <w:tcPr>
            <w:tcW w:type="dxa" w:w="376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Building new integrations</w:t>
            </w:r>
          </w:p>
        </w:tc>
      </w:tr>
      <w:tr>
        <w:trPr>
          <w:tblHeader w:val="false"/>
        </w:trPr>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Reporting / OTBI</w:t>
            </w:r>
          </w:p>
        </w:tc>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OTBI report fixes and enhancements, BI Publisher templates</w:t>
            </w:r>
          </w:p>
        </w:tc>
        <w:tc>
          <w:tcPr>
            <w:tcW w:type="dxa" w:w="3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Enterprise Analytics (OAC) projects</w:t>
            </w:r>
          </w:p>
        </w:tc>
      </w:tr>
    </w:tbl>
    <w:p>
      <w:pPr>
        <w:spacing w:after="100" w:before="0"/>
      </w:pPr>
    </w:p>
    <w:p>
      <w:pPr>
        <w:spacing w:after="100" w:before="60"/>
      </w:pPr>
      <w:r>
        <w:rPr>
          <w:rFonts w:ascii="Arial" w:cs="Arial" w:eastAsia="Arial" w:hAnsi="Arial"/>
          <w:i/>
          <w:iCs/>
          <w:color w:val="555555"/>
          <w:sz w:val="22"/>
          <w:szCs w:val="22"/>
        </w:rPr>
        <w:t xml:space="preserve">All scope items assume that the relevant Oracle Cloud modules are already live and in production. MUCS does not cover new module implementations; however, Cloudors can provide a separate implementation engagement where required.</w:t>
      </w:r>
    </w:p>
    <w:p>
      <w:pPr>
        <w:spacing w:after="100" w:before="0"/>
      </w:pPr>
    </w:p>
    <w:p>
      <w:r>
        <w:br w:type="page"/>
      </w:r>
    </w:p>
    <w:p>
      <w:pPr>
        <w:pStyle w:val="Heading1"/>
        <w:spacing w:after="80" w:before="480"/>
      </w:pPr>
      <w:r>
        <w:rPr>
          <w:rFonts w:ascii="Arial" w:cs="Arial" w:eastAsia="Arial" w:hAnsi="Arial"/>
          <w:b/>
          <w:bCs/>
          <w:color w:val="003366"/>
          <w:sz w:val="36"/>
          <w:szCs w:val="36"/>
        </w:rPr>
        <w:t xml:space="preserve">4. Service Level Agreements (SLAs)</w:t>
      </w:r>
    </w:p>
    <w:p>
      <w:pPr>
        <w:pBdr>
          <w:bottom w:val="single" w:color="00789A" w:sz="8" w:space="4"/>
        </w:pBdr>
        <w:spacing w:after="160" w:before="0"/>
      </w:pPr>
    </w:p>
    <w:p>
      <w:pPr>
        <w:spacing w:after="100" w:before="60"/>
      </w:pPr>
      <w:r>
        <w:rPr>
          <w:rFonts w:ascii="Arial" w:cs="Arial" w:eastAsia="Arial" w:hAnsi="Arial"/>
          <w:sz w:val="22"/>
          <w:szCs w:val="22"/>
        </w:rPr>
        <w:t xml:space="preserve">All support requests are assigned a priority at logging by the Cloudors team in consultation with the client. The following SLA targets apply from the point a ticket is logged in the service portal.</w:t>
      </w:r>
    </w:p>
    <w:p>
      <w:pPr>
        <w:spacing w:after="1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00"/>
        <w:gridCol w:w="1800"/>
        <w:gridCol w:w="2360"/>
      </w:tblGrid>
      <w:tr>
        <w:trPr>
          <w:tblHeader/>
        </w:trPr>
        <w:tc>
          <w:tcPr>
            <w:tcW w:type="dxa" w:w="320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Incident Priority</w:t>
            </w:r>
          </w:p>
        </w:tc>
        <w:tc>
          <w:tcPr>
            <w:tcW w:type="dxa" w:w="200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First Response</w:t>
            </w:r>
          </w:p>
        </w:tc>
        <w:tc>
          <w:tcPr>
            <w:tcW w:type="dxa" w:w="180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Resolution Target</w:t>
            </w:r>
          </w:p>
        </w:tc>
        <w:tc>
          <w:tcPr>
            <w:tcW w:type="dxa" w:w="236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Description</w:t>
            </w:r>
          </w:p>
        </w:tc>
      </w:tr>
      <w:tr>
        <w:trPr>
          <w:tblHeader w:val="false"/>
        </w:trPr>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P1 – Critical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center"/>
            </w:pPr>
            <w:r>
              <w:rPr>
                <w:rFonts w:ascii="Arial" w:cs="Arial" w:eastAsia="Arial" w:hAnsi="Arial"/>
                <w:color w:val="222222"/>
                <w:sz w:val="20"/>
                <w:szCs w:val="20"/>
              </w:rPr>
              <w:t xml:space="preserve">30 minutes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center"/>
            </w:pPr>
            <w:r>
              <w:rPr>
                <w:rFonts w:ascii="Arial" w:cs="Arial" w:eastAsia="Arial" w:hAnsi="Arial"/>
                <w:color w:val="222222"/>
                <w:sz w:val="20"/>
                <w:szCs w:val="20"/>
              </w:rPr>
              <w:t xml:space="preserve">4 hours</w:t>
            </w:r>
          </w:p>
        </w:tc>
        <w:tc>
          <w:tcPr>
            <w:tcW w:type="dxa" w:w="2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Full system outage or data loss risk</w:t>
            </w:r>
          </w:p>
        </w:tc>
      </w:tr>
      <w:tr>
        <w:trPr>
          <w:tblHeader w:val="false"/>
        </w:trPr>
        <w:tc>
          <w:tcPr>
            <w:tcW w:type="dxa" w:w="32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P2 – High</w:t>
            </w:r>
          </w:p>
        </w:tc>
        <w:tc>
          <w:tcPr>
            <w:tcW w:type="dxa" w:w="20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center"/>
            </w:pPr>
            <w:r>
              <w:rPr>
                <w:rFonts w:ascii="Arial" w:cs="Arial" w:eastAsia="Arial" w:hAnsi="Arial"/>
                <w:color w:val="222222"/>
                <w:sz w:val="20"/>
                <w:szCs w:val="20"/>
              </w:rPr>
              <w:t xml:space="preserve">1 hour</w:t>
            </w:r>
          </w:p>
        </w:tc>
        <w:tc>
          <w:tcPr>
            <w:tcW w:type="dxa" w:w="18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center"/>
            </w:pPr>
            <w:r>
              <w:rPr>
                <w:rFonts w:ascii="Arial" w:cs="Arial" w:eastAsia="Arial" w:hAnsi="Arial"/>
                <w:color w:val="222222"/>
                <w:sz w:val="20"/>
                <w:szCs w:val="20"/>
              </w:rPr>
              <w:t xml:space="preserve">8 business hours</w:t>
            </w:r>
          </w:p>
        </w:tc>
        <w:tc>
          <w:tcPr>
            <w:tcW w:type="dxa" w:w="236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Major function unavailable, no workaround</w:t>
            </w:r>
          </w:p>
        </w:tc>
      </w:tr>
      <w:tr>
        <w:trPr>
          <w:tblHeader w:val="false"/>
        </w:trPr>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P3 – Medium</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center"/>
            </w:pPr>
            <w:r>
              <w:rPr>
                <w:rFonts w:ascii="Arial" w:cs="Arial" w:eastAsia="Arial" w:hAnsi="Arial"/>
                <w:color w:val="222222"/>
                <w:sz w:val="20"/>
                <w:szCs w:val="20"/>
              </w:rPr>
              <w:t xml:space="preserve">4 business hours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center"/>
            </w:pPr>
            <w:r>
              <w:rPr>
                <w:rFonts w:ascii="Arial" w:cs="Arial" w:eastAsia="Arial" w:hAnsi="Arial"/>
                <w:color w:val="222222"/>
                <w:sz w:val="20"/>
                <w:szCs w:val="20"/>
              </w:rPr>
              <w:t xml:space="preserve">3 business days</w:t>
            </w:r>
          </w:p>
        </w:tc>
        <w:tc>
          <w:tcPr>
            <w:tcW w:type="dxa" w:w="2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Degraded function, workaround exists</w:t>
            </w:r>
          </w:p>
        </w:tc>
      </w:tr>
      <w:tr>
        <w:trPr>
          <w:tblHeader w:val="false"/>
        </w:trPr>
        <w:tc>
          <w:tcPr>
            <w:tcW w:type="dxa" w:w="32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P4 – Low / Change</w:t>
            </w:r>
          </w:p>
        </w:tc>
        <w:tc>
          <w:tcPr>
            <w:tcW w:type="dxa" w:w="20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center"/>
            </w:pPr>
            <w:r>
              <w:rPr>
                <w:rFonts w:ascii="Arial" w:cs="Arial" w:eastAsia="Arial" w:hAnsi="Arial"/>
                <w:color w:val="222222"/>
                <w:sz w:val="20"/>
                <w:szCs w:val="20"/>
              </w:rPr>
              <w:t xml:space="preserve">1 business day</w:t>
            </w:r>
          </w:p>
        </w:tc>
        <w:tc>
          <w:tcPr>
            <w:tcW w:type="dxa" w:w="18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center"/>
            </w:pPr>
            <w:r>
              <w:rPr>
                <w:rFonts w:ascii="Arial" w:cs="Arial" w:eastAsia="Arial" w:hAnsi="Arial"/>
                <w:color w:val="222222"/>
                <w:sz w:val="20"/>
                <w:szCs w:val="20"/>
              </w:rPr>
              <w:t xml:space="preserve">5 business days</w:t>
            </w:r>
          </w:p>
        </w:tc>
        <w:tc>
          <w:tcPr>
            <w:tcW w:type="dxa" w:w="236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Minor issue, configuration request, or query</w:t>
            </w:r>
          </w:p>
        </w:tc>
      </w:tr>
    </w:tbl>
    <w:p>
      <w:pPr>
        <w:spacing w:after="100" w:before="0"/>
      </w:pPr>
    </w:p>
    <w:p>
      <w:pPr>
        <w:pStyle w:val="Heading2"/>
        <w:spacing w:after="80" w:before="320"/>
      </w:pPr>
      <w:r>
        <w:rPr>
          <w:rFonts w:ascii="Arial" w:cs="Arial" w:eastAsia="Arial" w:hAnsi="Arial"/>
          <w:b/>
          <w:bCs/>
          <w:color w:val="00789A"/>
          <w:sz w:val="26"/>
          <w:szCs w:val="26"/>
        </w:rPr>
        <w:t xml:space="preserve">4.1  SLA Definitions</w:t>
      </w:r>
    </w:p>
    <w:p>
      <w:pPr>
        <w:spacing w:after="60" w:before="200"/>
      </w:pPr>
      <w:r>
        <w:rPr>
          <w:rFonts w:ascii="Arial" w:cs="Arial" w:eastAsia="Arial" w:hAnsi="Arial"/>
          <w:b/>
          <w:bCs/>
          <w:color w:val="003366"/>
          <w:sz w:val="22"/>
          <w:szCs w:val="22"/>
        </w:rPr>
        <w:t xml:space="preserve">Business Hours</w:t>
      </w:r>
    </w:p>
    <w:p>
      <w:pPr>
        <w:spacing w:after="100" w:before="60"/>
      </w:pPr>
      <w:r>
        <w:rPr>
          <w:rFonts w:ascii="Arial" w:cs="Arial" w:eastAsia="Arial" w:hAnsi="Arial"/>
          <w:sz w:val="22"/>
          <w:szCs w:val="22"/>
        </w:rPr>
        <w:t xml:space="preserve">Business hours are Sunday to Thursday, 09:00–18:00 Gulf Standard Time (UTC+4), unless a separate schedule is agreed in the Order Form.</w:t>
      </w:r>
    </w:p>
    <w:p>
      <w:pPr>
        <w:spacing w:after="100" w:before="0"/>
      </w:pPr>
    </w:p>
    <w:p>
      <w:pPr>
        <w:spacing w:after="60" w:before="200"/>
      </w:pPr>
      <w:r>
        <w:rPr>
          <w:rFonts w:ascii="Arial" w:cs="Arial" w:eastAsia="Arial" w:hAnsi="Arial"/>
          <w:b/>
          <w:bCs/>
          <w:color w:val="003366"/>
          <w:sz w:val="22"/>
          <w:szCs w:val="22"/>
        </w:rPr>
        <w:t xml:space="preserve">First Response</w:t>
      </w:r>
    </w:p>
    <w:p>
      <w:pPr>
        <w:spacing w:after="100" w:before="60"/>
      </w:pPr>
      <w:r>
        <w:rPr>
          <w:rFonts w:ascii="Arial" w:cs="Arial" w:eastAsia="Arial" w:hAnsi="Arial"/>
          <w:sz w:val="22"/>
          <w:szCs w:val="22"/>
        </w:rPr>
        <w:t xml:space="preserve">Acknowledgement of the ticket by a named team member, confirmation of priority, and an initial assessment or request for further information.</w:t>
      </w:r>
    </w:p>
    <w:p>
      <w:pPr>
        <w:spacing w:after="100" w:before="0"/>
      </w:pPr>
    </w:p>
    <w:p>
      <w:pPr>
        <w:spacing w:after="60" w:before="200"/>
      </w:pPr>
      <w:r>
        <w:rPr>
          <w:rFonts w:ascii="Arial" w:cs="Arial" w:eastAsia="Arial" w:hAnsi="Arial"/>
          <w:b/>
          <w:bCs/>
          <w:color w:val="003366"/>
          <w:sz w:val="22"/>
          <w:szCs w:val="22"/>
        </w:rPr>
        <w:t xml:space="preserve">Resolution Target</w:t>
      </w:r>
    </w:p>
    <w:p>
      <w:pPr>
        <w:spacing w:after="100" w:before="60"/>
      </w:pPr>
      <w:r>
        <w:rPr>
          <w:rFonts w:ascii="Arial" w:cs="Arial" w:eastAsia="Arial" w:hAnsi="Arial"/>
          <w:sz w:val="22"/>
          <w:szCs w:val="22"/>
        </w:rPr>
        <w:t xml:space="preserve">The ticket is closed or a workaround accepted by the client. Where a permanent fix requires an Oracle patch not yet available, the ticket is marked 'pending Oracle' and is not counted against resolution SLA.</w:t>
      </w:r>
    </w:p>
    <w:p>
      <w:pPr>
        <w:spacing w:after="100" w:before="0"/>
      </w:pPr>
    </w:p>
    <w:p>
      <w:pPr>
        <w:pStyle w:val="Heading2"/>
        <w:spacing w:after="80" w:before="320"/>
      </w:pPr>
      <w:r>
        <w:rPr>
          <w:rFonts w:ascii="Arial" w:cs="Arial" w:eastAsia="Arial" w:hAnsi="Arial"/>
          <w:b/>
          <w:bCs/>
          <w:color w:val="00789A"/>
          <w:sz w:val="26"/>
          <w:szCs w:val="26"/>
        </w:rPr>
        <w:t xml:space="preserve">4.2  SLA Exclusions</w:t>
      </w:r>
    </w:p>
    <w:p>
      <w:pPr>
        <w:spacing w:after="100" w:before="60"/>
      </w:pPr>
      <w:r>
        <w:rPr>
          <w:rFonts w:ascii="Arial" w:cs="Arial" w:eastAsia="Arial" w:hAnsi="Arial"/>
          <w:sz w:val="22"/>
          <w:szCs w:val="22"/>
        </w:rPr>
        <w:t xml:space="preserve">The following are excluded from SLA measurements:</w:t>
      </w:r>
    </w:p>
    <w:p>
      <w:pPr>
        <w:pStyle w:val="ListParagraph"/>
        <w:numPr>
          <w:ilvl w:val="0"/>
          <w:numId w:val="2"/>
        </w:numPr>
        <w:spacing w:after="60" w:before="40"/>
      </w:pPr>
      <w:r>
        <w:rPr>
          <w:rFonts w:ascii="Arial" w:cs="Arial" w:eastAsia="Arial" w:hAnsi="Arial"/>
          <w:sz w:val="22"/>
          <w:szCs w:val="22"/>
        </w:rPr>
        <w:t xml:space="preserve">Tickets logged outside business hours (response clock starts at next business day opening)</w:t>
      </w:r>
    </w:p>
    <w:p>
      <w:pPr>
        <w:pStyle w:val="ListParagraph"/>
        <w:numPr>
          <w:ilvl w:val="0"/>
          <w:numId w:val="2"/>
        </w:numPr>
        <w:spacing w:after="60" w:before="40"/>
      </w:pPr>
      <w:r>
        <w:rPr>
          <w:rFonts w:ascii="Arial" w:cs="Arial" w:eastAsia="Arial" w:hAnsi="Arial"/>
          <w:sz w:val="22"/>
          <w:szCs w:val="22"/>
        </w:rPr>
        <w:t xml:space="preserve">Requests dependent on client action or approval where the client has not responded within the agreed timeframe</w:t>
      </w:r>
    </w:p>
    <w:p>
      <w:pPr>
        <w:pStyle w:val="ListParagraph"/>
        <w:numPr>
          <w:ilvl w:val="0"/>
          <w:numId w:val="2"/>
        </w:numPr>
        <w:spacing w:after="60" w:before="40"/>
      </w:pPr>
      <w:r>
        <w:rPr>
          <w:rFonts w:ascii="Arial" w:cs="Arial" w:eastAsia="Arial" w:hAnsi="Arial"/>
          <w:sz w:val="22"/>
          <w:szCs w:val="22"/>
        </w:rPr>
        <w:t xml:space="preserve">Oracle platform outages or incidents outside Cloudors' control</w:t>
      </w:r>
    </w:p>
    <w:p>
      <w:pPr>
        <w:pStyle w:val="ListParagraph"/>
        <w:numPr>
          <w:ilvl w:val="0"/>
          <w:numId w:val="2"/>
        </w:numPr>
        <w:spacing w:after="60" w:before="40"/>
      </w:pPr>
      <w:r>
        <w:rPr>
          <w:rFonts w:ascii="Arial" w:cs="Arial" w:eastAsia="Arial" w:hAnsi="Arial"/>
          <w:sz w:val="22"/>
          <w:szCs w:val="22"/>
        </w:rPr>
        <w:t xml:space="preserve">Tickets classified as P4 Change Requests where client approval is pending</w:t>
      </w:r>
    </w:p>
    <w:p>
      <w:pPr>
        <w:spacing w:after="100" w:before="0"/>
      </w:pPr>
    </w:p>
    <w:p>
      <w:pPr>
        <w:pStyle w:val="Heading2"/>
        <w:spacing w:after="80" w:before="320"/>
      </w:pPr>
      <w:r>
        <w:rPr>
          <w:rFonts w:ascii="Arial" w:cs="Arial" w:eastAsia="Arial" w:hAnsi="Arial"/>
          <w:b/>
          <w:bCs/>
          <w:color w:val="00789A"/>
          <w:sz w:val="26"/>
          <w:szCs w:val="26"/>
        </w:rPr>
        <w:t xml:space="preserve">4.3  SLA Reporting</w:t>
      </w:r>
    </w:p>
    <w:p>
      <w:pPr>
        <w:spacing w:after="100" w:before="60"/>
      </w:pPr>
      <w:r>
        <w:rPr>
          <w:rFonts w:ascii="Arial" w:cs="Arial" w:eastAsia="Arial" w:hAnsi="Arial"/>
          <w:sz w:val="22"/>
          <w:szCs w:val="22"/>
        </w:rPr>
        <w:t xml:space="preserve">SLA performance is reported monthly. The report includes total tickets by priority, SLA compliance rate, average resolution time, and any breaches with root cause and remediation notes.</w:t>
      </w:r>
    </w:p>
    <w:p>
      <w:pPr>
        <w:spacing w:after="100" w:before="0"/>
      </w:pPr>
    </w:p>
    <w:p>
      <w:r>
        <w:br w:type="page"/>
      </w:r>
    </w:p>
    <w:p>
      <w:pPr>
        <w:pStyle w:val="Heading1"/>
        <w:spacing w:after="80" w:before="480"/>
      </w:pPr>
      <w:r>
        <w:rPr>
          <w:rFonts w:ascii="Arial" w:cs="Arial" w:eastAsia="Arial" w:hAnsi="Arial"/>
          <w:b/>
          <w:bCs/>
          <w:color w:val="003366"/>
          <w:sz w:val="36"/>
          <w:szCs w:val="36"/>
        </w:rPr>
        <w:t xml:space="preserve">5. RACI Matrix</w:t>
      </w:r>
    </w:p>
    <w:p>
      <w:pPr>
        <w:pBdr>
          <w:bottom w:val="single" w:color="00789A" w:sz="8" w:space="4"/>
        </w:pBdr>
        <w:spacing w:after="160" w:before="0"/>
      </w:pPr>
    </w:p>
    <w:p>
      <w:pPr>
        <w:spacing w:after="100" w:before="60"/>
      </w:pPr>
      <w:r>
        <w:rPr>
          <w:rFonts w:ascii="Arial" w:cs="Arial" w:eastAsia="Arial" w:hAnsi="Arial"/>
          <w:sz w:val="22"/>
          <w:szCs w:val="22"/>
        </w:rPr>
        <w:t xml:space="preserve">The RACI matrix below defines accountability across all key service activities. Roles are defined as follows:</w:t>
      </w:r>
    </w:p>
    <w:p>
      <w:pPr>
        <w:spacing w:after="100" w:before="0"/>
      </w:pPr>
    </w:p>
    <w:p>
      <w:pPr>
        <w:spacing w:after="60" w:before="60"/>
      </w:pPr>
      <w:r>
        <w:rPr>
          <w:rFonts w:ascii="Arial" w:cs="Arial" w:eastAsia="Arial" w:hAnsi="Arial"/>
          <w:b/>
          <w:bCs/>
          <w:color w:val="C00000"/>
          <w:sz w:val="22"/>
          <w:szCs w:val="22"/>
        </w:rPr>
        <w:t xml:space="preserve">R  </w:t>
      </w:r>
      <w:r>
        <w:rPr>
          <w:rFonts w:ascii="Arial" w:cs="Arial" w:eastAsia="Arial" w:hAnsi="Arial"/>
          <w:sz w:val="22"/>
          <w:szCs w:val="22"/>
        </w:rPr>
        <w:t xml:space="preserve">Responsible — performs the activity</w:t>
      </w:r>
      <w:r>
        <w:rPr>
          <w:rFonts w:ascii="Arial" w:cs="Arial" w:eastAsia="Arial" w:hAnsi="Arial"/>
          <w:b/>
          <w:bCs/>
          <w:color w:val="00789A"/>
          <w:sz w:val="22"/>
          <w:szCs w:val="22"/>
        </w:rPr>
        <w:t xml:space="preserve">     A  </w:t>
      </w:r>
      <w:r>
        <w:rPr>
          <w:rFonts w:ascii="Arial" w:cs="Arial" w:eastAsia="Arial" w:hAnsi="Arial"/>
          <w:sz w:val="22"/>
          <w:szCs w:val="22"/>
        </w:rPr>
        <w:t xml:space="preserve">Accountable — owns the outcome</w:t>
      </w:r>
    </w:p>
    <w:p>
      <w:pPr>
        <w:spacing w:after="120" w:before="60"/>
      </w:pPr>
      <w:r>
        <w:rPr>
          <w:rFonts w:ascii="Arial" w:cs="Arial" w:eastAsia="Arial" w:hAnsi="Arial"/>
          <w:b/>
          <w:bCs/>
          <w:color w:val="538135"/>
          <w:sz w:val="22"/>
          <w:szCs w:val="22"/>
        </w:rPr>
        <w:t xml:space="preserve">C  </w:t>
      </w:r>
      <w:r>
        <w:rPr>
          <w:rFonts w:ascii="Arial" w:cs="Arial" w:eastAsia="Arial" w:hAnsi="Arial"/>
          <w:sz w:val="22"/>
          <w:szCs w:val="22"/>
        </w:rPr>
        <w:t xml:space="preserve">Consulted — provides input</w:t>
      </w:r>
      <w:r>
        <w:rPr>
          <w:rFonts w:ascii="Arial" w:cs="Arial" w:eastAsia="Arial" w:hAnsi="Arial"/>
          <w:b/>
          <w:bCs/>
          <w:color w:val="7F7F7F"/>
          <w:sz w:val="22"/>
          <w:szCs w:val="22"/>
        </w:rPr>
        <w:t xml:space="preserve">     I  </w:t>
      </w:r>
      <w:r>
        <w:rPr>
          <w:rFonts w:ascii="Arial" w:cs="Arial" w:eastAsia="Arial" w:hAnsi="Arial"/>
          <w:sz w:val="22"/>
          <w:szCs w:val="22"/>
        </w:rPr>
        <w:t xml:space="preserve">Informed — receives updates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310"/>
        <w:gridCol w:w="1310"/>
        <w:gridCol w:w="1310"/>
        <w:gridCol w:w="1310"/>
        <w:gridCol w:w="1320"/>
      </w:tblGrid>
      <w:tr>
        <w:trPr>
          <w:tblHeader/>
        </w:trPr>
        <w:tc>
          <w:tcPr>
            <w:tcW w:type="dxa" w:w="280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Activity</w:t>
            </w:r>
          </w:p>
        </w:tc>
        <w:tc>
          <w:tcPr>
            <w:tcW w:type="dxa" w:w="131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Cloudors PM</w:t>
            </w:r>
          </w:p>
        </w:tc>
        <w:tc>
          <w:tcPr>
            <w:tcW w:type="dxa" w:w="131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Func. Consultant</w:t>
            </w:r>
          </w:p>
        </w:tc>
        <w:tc>
          <w:tcPr>
            <w:tcW w:type="dxa" w:w="131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Tech. Consultant</w:t>
            </w:r>
          </w:p>
        </w:tc>
        <w:tc>
          <w:tcPr>
            <w:tcW w:type="dxa" w:w="131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Client Lead</w:t>
            </w:r>
          </w:p>
        </w:tc>
        <w:tc>
          <w:tcPr>
            <w:tcW w:type="dxa" w:w="132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Client IT</w:t>
            </w:r>
          </w:p>
        </w:tc>
      </w:tr>
      <w:tr>
        <w:tc>
          <w:tcPr>
            <w:tcW w:type="dxa" w:w="28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Incident logging &amp; triage</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00789A"/>
                <w:sz w:val="20"/>
                <w:szCs w:val="20"/>
              </w:rPr>
              <w:t xml:space="preserve">A</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7F7F7F"/>
                <w:sz w:val="20"/>
                <w:szCs w:val="20"/>
              </w:rPr>
              <w:t xml:space="preserve">I</w:t>
            </w:r>
          </w:p>
        </w:tc>
        <w:tc>
          <w:tcPr>
            <w:tcW w:type="dxa" w:w="132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7F7F7F"/>
                <w:sz w:val="20"/>
                <w:szCs w:val="20"/>
              </w:rPr>
              <w:t xml:space="preserve">I</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Incident resolution (functional)</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00789A"/>
                <w:sz w:val="20"/>
                <w:szCs w:val="20"/>
              </w:rPr>
              <w:t xml:space="preserve">A</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7F7F7F"/>
                <w:sz w:val="20"/>
                <w:szCs w:val="20"/>
              </w:rPr>
              <w:t xml:space="preserve">I</w:t>
            </w:r>
          </w:p>
        </w:tc>
        <w:tc>
          <w:tcPr>
            <w:tcW w:type="dxa" w:w="132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AAAAAA"/>
                <w:sz w:val="20"/>
                <w:szCs w:val="20"/>
              </w:rPr>
              <w:t xml:space="preserve">–</w:t>
            </w:r>
          </w:p>
        </w:tc>
      </w:tr>
      <w:tr>
        <w:tc>
          <w:tcPr>
            <w:tcW w:type="dxa" w:w="28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Incident resolution (technical)</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00789A"/>
                <w:sz w:val="20"/>
                <w:szCs w:val="20"/>
              </w:rPr>
              <w:t xml:space="preserve">A</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7F7F7F"/>
                <w:sz w:val="20"/>
                <w:szCs w:val="20"/>
              </w:rPr>
              <w:t xml:space="preserve">I</w:t>
            </w:r>
          </w:p>
        </w:tc>
        <w:tc>
          <w:tcPr>
            <w:tcW w:type="dxa" w:w="132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Oracle quarterly update assessment</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00789A"/>
                <w:sz w:val="20"/>
                <w:szCs w:val="20"/>
              </w:rPr>
              <w:t xml:space="preserve">A</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2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7F7F7F"/>
                <w:sz w:val="20"/>
                <w:szCs w:val="20"/>
              </w:rPr>
              <w:t xml:space="preserve">I</w:t>
            </w:r>
          </w:p>
        </w:tc>
      </w:tr>
      <w:tr>
        <w:tc>
          <w:tcPr>
            <w:tcW w:type="dxa" w:w="28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Update testing coordination</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00789A"/>
                <w:sz w:val="20"/>
                <w:szCs w:val="20"/>
              </w:rPr>
              <w:t xml:space="preserve">A</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c>
          <w:tcPr>
            <w:tcW w:type="dxa" w:w="132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Production deployment approval</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7F7F7F"/>
                <w:sz w:val="20"/>
                <w:szCs w:val="20"/>
              </w:rPr>
              <w:t xml:space="preserve">I</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c>
          <w:tcPr>
            <w:tcW w:type="dxa" w:w="132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00789A"/>
                <w:sz w:val="20"/>
                <w:szCs w:val="20"/>
              </w:rPr>
              <w:t xml:space="preserve">A</w:t>
            </w:r>
          </w:p>
        </w:tc>
      </w:tr>
      <w:tr>
        <w:tc>
          <w:tcPr>
            <w:tcW w:type="dxa" w:w="28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System health monitoring</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00789A"/>
                <w:sz w:val="20"/>
                <w:szCs w:val="20"/>
              </w:rPr>
              <w:t xml:space="preserve">A</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7F7F7F"/>
                <w:sz w:val="20"/>
                <w:szCs w:val="20"/>
              </w:rPr>
              <w:t xml:space="preserve">I</w:t>
            </w:r>
          </w:p>
        </w:tc>
        <w:tc>
          <w:tcPr>
            <w:tcW w:type="dxa" w:w="132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User provisioning &amp; role management</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00789A"/>
                <w:sz w:val="20"/>
                <w:szCs w:val="20"/>
              </w:rPr>
              <w:t xml:space="preserve">A</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AAAAAA"/>
                <w:sz w:val="20"/>
                <w:szCs w:val="20"/>
              </w:rPr>
              <w:t xml:space="preserve">–</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2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r>
      <w:tr>
        <w:tc>
          <w:tcPr>
            <w:tcW w:type="dxa" w:w="28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Business process change request</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00789A"/>
                <w:sz w:val="20"/>
                <w:szCs w:val="20"/>
              </w:rPr>
              <w:t xml:space="preserve">A</w:t>
            </w:r>
          </w:p>
        </w:tc>
        <w:tc>
          <w:tcPr>
            <w:tcW w:type="dxa" w:w="132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7F7F7F"/>
                <w:sz w:val="20"/>
                <w:szCs w:val="20"/>
              </w:rPr>
              <w:t xml:space="preserve">I</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Monthly status report</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00789A"/>
                <w:sz w:val="20"/>
                <w:szCs w:val="20"/>
              </w:rPr>
              <w:t xml:space="preserve">A</w:t>
            </w:r>
          </w:p>
        </w:tc>
        <w:tc>
          <w:tcPr>
            <w:tcW w:type="dxa" w:w="132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7F7F7F"/>
                <w:sz w:val="20"/>
                <w:szCs w:val="20"/>
              </w:rPr>
              <w:t xml:space="preserve">I</w:t>
            </w:r>
          </w:p>
        </w:tc>
      </w:tr>
      <w:tr>
        <w:tc>
          <w:tcPr>
            <w:tcW w:type="dxa" w:w="28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Governance review meeting</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00789A"/>
                <w:sz w:val="20"/>
                <w:szCs w:val="20"/>
              </w:rPr>
              <w:t xml:space="preserve">A</w:t>
            </w:r>
          </w:p>
        </w:tc>
        <w:tc>
          <w:tcPr>
            <w:tcW w:type="dxa" w:w="132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7F7F7F"/>
                <w:sz w:val="20"/>
                <w:szCs w:val="20"/>
              </w:rPr>
              <w:t xml:space="preserve">I</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License utilisation review</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00789A"/>
                <w:sz w:val="20"/>
                <w:szCs w:val="20"/>
              </w:rPr>
              <w:t xml:space="preserve">A</w:t>
            </w:r>
          </w:p>
        </w:tc>
        <w:tc>
          <w:tcPr>
            <w:tcW w:type="dxa" w:w="132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7F7F7F"/>
                <w:sz w:val="20"/>
                <w:szCs w:val="20"/>
              </w:rPr>
              <w:t xml:space="preserve">I</w:t>
            </w:r>
          </w:p>
        </w:tc>
      </w:tr>
      <w:tr>
        <w:tc>
          <w:tcPr>
            <w:tcW w:type="dxa" w:w="28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Escalation management</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c>
          <w:tcPr>
            <w:tcW w:type="dxa" w:w="131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00789A"/>
                <w:sz w:val="20"/>
                <w:szCs w:val="20"/>
              </w:rPr>
              <w:t xml:space="preserve">A</w:t>
            </w:r>
          </w:p>
        </w:tc>
        <w:tc>
          <w:tcPr>
            <w:tcW w:type="dxa" w:w="1320"/>
            <w:tcBorders>
              <w:top w:val="single" w:color="CCCCCC" w:sz="1"/>
              <w:left w:val="single" w:color="CCCCCC" w:sz="1"/>
              <w:bottom w:val="single" w:color="CCCCCC" w:sz="1"/>
              <w:right w:val="single" w:color="CCCCCC" w:sz="1"/>
            </w:tcBorders>
            <w:shd w:fill="F5F7FA" w:val="clear"/>
            <w:tcMar>
              <w:top w:type="dxa" w:w="80"/>
              <w:left w:type="dxa" w:w="80"/>
              <w:bottom w:type="dxa" w:w="80"/>
              <w:right w:type="dxa" w:w="80"/>
            </w:tcMar>
            <w:vAlign w:val="center"/>
          </w:tcPr>
          <w:p>
            <w:pPr>
              <w:jc w:val="center"/>
            </w:pPr>
            <w:r>
              <w:rPr>
                <w:rFonts w:ascii="Arial" w:cs="Arial" w:eastAsia="Arial" w:hAnsi="Arial"/>
                <w:b/>
                <w:bCs/>
                <w:color w:val="538135"/>
                <w:sz w:val="20"/>
                <w:szCs w:val="20"/>
              </w:rPr>
              <w:t xml:space="preserve">C</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Contract &amp; commercial governance</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00789A"/>
                <w:sz w:val="20"/>
                <w:szCs w:val="20"/>
              </w:rPr>
              <w:t xml:space="preserve">A</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AAAAAA"/>
                <w:sz w:val="20"/>
                <w:szCs w:val="20"/>
              </w:rPr>
              <w:t xml:space="preserve">–</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AAAAAA"/>
                <w:sz w:val="20"/>
                <w:szCs w:val="20"/>
              </w:rPr>
              <w:t xml:space="preserve">–</w:t>
            </w:r>
          </w:p>
        </w:tc>
        <w:tc>
          <w:tcPr>
            <w:tcW w:type="dxa" w:w="131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C00000"/>
                <w:sz w:val="20"/>
                <w:szCs w:val="20"/>
              </w:rPr>
              <w:t xml:space="preserve">R</w:t>
            </w:r>
          </w:p>
        </w:tc>
        <w:tc>
          <w:tcPr>
            <w:tcW w:type="dxa" w:w="132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vAlign w:val="center"/>
          </w:tcPr>
          <w:p>
            <w:pPr>
              <w:jc w:val="center"/>
            </w:pPr>
            <w:r>
              <w:rPr>
                <w:rFonts w:ascii="Arial" w:cs="Arial" w:eastAsia="Arial" w:hAnsi="Arial"/>
                <w:b/>
                <w:bCs/>
                <w:color w:val="AAAAAA"/>
                <w:sz w:val="20"/>
                <w:szCs w:val="20"/>
              </w:rPr>
              <w:t xml:space="preserve">–</w:t>
            </w:r>
          </w:p>
        </w:tc>
      </w:tr>
    </w:tbl>
    <w:p>
      <w:pPr>
        <w:spacing w:after="100" w:before="0"/>
      </w:pPr>
    </w:p>
    <w:p>
      <w:pPr>
        <w:spacing w:after="100" w:before="60"/>
      </w:pPr>
      <w:r>
        <w:rPr>
          <w:rFonts w:ascii="Arial" w:cs="Arial" w:eastAsia="Arial" w:hAnsi="Arial"/>
          <w:i/>
          <w:iCs/>
          <w:color w:val="555555"/>
          <w:sz w:val="22"/>
          <w:szCs w:val="22"/>
        </w:rPr>
        <w:t xml:space="preserve">Note: The client organisation should designate a single named Client Lead who is empowered to approve changes, coordinate internal stakeholders, and act as the primary escalation point. Without a named Client Lead, the engagement model cannot operate at the service levels described.</w:t>
      </w:r>
    </w:p>
    <w:p>
      <w:pPr>
        <w:spacing w:after="100" w:before="0"/>
      </w:pPr>
    </w:p>
    <w:p>
      <w:r>
        <w:br w:type="page"/>
      </w:r>
    </w:p>
    <w:p>
      <w:pPr>
        <w:pStyle w:val="Heading1"/>
        <w:spacing w:after="80" w:before="480"/>
      </w:pPr>
      <w:r>
        <w:rPr>
          <w:rFonts w:ascii="Arial" w:cs="Arial" w:eastAsia="Arial" w:hAnsi="Arial"/>
          <w:b/>
          <w:bCs/>
          <w:color w:val="003366"/>
          <w:sz w:val="36"/>
          <w:szCs w:val="36"/>
        </w:rPr>
        <w:t xml:space="preserve">6. Governance &amp; Engagement Model</w:t>
      </w:r>
    </w:p>
    <w:p>
      <w:pPr>
        <w:pBdr>
          <w:bottom w:val="single" w:color="00789A" w:sz="8" w:space="4"/>
        </w:pBdr>
        <w:spacing w:after="160" w:before="0"/>
      </w:pPr>
    </w:p>
    <w:p>
      <w:pPr>
        <w:spacing w:after="100" w:before="60"/>
      </w:pPr>
      <w:r>
        <w:rPr>
          <w:rFonts w:ascii="Arial" w:cs="Arial" w:eastAsia="Arial" w:hAnsi="Arial"/>
          <w:sz w:val="22"/>
          <w:szCs w:val="22"/>
        </w:rPr>
        <w:t xml:space="preserve">The MUCS governance model is designed to give clients continuous visibility into their Oracle environment and a structured channel for direction, feedback, and decision-making. It operates at three levels: operational, management, and executive.</w:t>
      </w:r>
    </w:p>
    <w:p>
      <w:pPr>
        <w:spacing w:after="100" w:before="0"/>
      </w:pPr>
    </w:p>
    <w:p>
      <w:pPr>
        <w:pStyle w:val="Heading2"/>
        <w:spacing w:after="80" w:before="320"/>
      </w:pPr>
      <w:r>
        <w:rPr>
          <w:rFonts w:ascii="Arial" w:cs="Arial" w:eastAsia="Arial" w:hAnsi="Arial"/>
          <w:b/>
          <w:bCs/>
          <w:color w:val="00789A"/>
          <w:sz w:val="26"/>
          <w:szCs w:val="26"/>
        </w:rPr>
        <w:t xml:space="preserve">6.1  Meeting Cadence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2160"/>
        <w:gridCol w:w="3200"/>
      </w:tblGrid>
      <w:tr>
        <w:trPr>
          <w:tblHeader/>
        </w:trPr>
        <w:tc>
          <w:tcPr>
            <w:tcW w:type="dxa" w:w="220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Meeting</w:t>
            </w:r>
          </w:p>
        </w:tc>
        <w:tc>
          <w:tcPr>
            <w:tcW w:type="dxa" w:w="180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Frequency</w:t>
            </w:r>
          </w:p>
        </w:tc>
        <w:tc>
          <w:tcPr>
            <w:tcW w:type="dxa" w:w="216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Attendees</w:t>
            </w:r>
          </w:p>
        </w:tc>
        <w:tc>
          <w:tcPr>
            <w:tcW w:type="dxa" w:w="320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Purpose</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Operational Sync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Weekly</w:t>
            </w:r>
          </w:p>
        </w:tc>
        <w:tc>
          <w:tcPr>
            <w:tcW w:type="dxa" w:w="21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Cloudors PM + Client Lead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Open tickets, progress, blockers</w:t>
            </w:r>
          </w:p>
        </w:tc>
      </w:tr>
      <w:tr>
        <w:trPr>
          <w:tblHeader w:val="false"/>
        </w:trPr>
        <w:tc>
          <w:tcPr>
            <w:tcW w:type="dxa" w:w="22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Functional Review</w:t>
            </w:r>
          </w:p>
        </w:tc>
        <w:tc>
          <w:tcPr>
            <w:tcW w:type="dxa" w:w="18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Bi-weekly</w:t>
            </w:r>
          </w:p>
        </w:tc>
        <w:tc>
          <w:tcPr>
            <w:tcW w:type="dxa" w:w="216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Func. Consultant + Client Process Owners</w:t>
            </w:r>
          </w:p>
        </w:tc>
        <w:tc>
          <w:tcPr>
            <w:tcW w:type="dxa" w:w="32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Process changes, user requests, Oracle release impacts</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Governance Review</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Monthly</w:t>
            </w:r>
          </w:p>
        </w:tc>
        <w:tc>
          <w:tcPr>
            <w:tcW w:type="dxa" w:w="21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All stakeholders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Activity report, KPIs, risk, upcoming changes</w:t>
            </w:r>
          </w:p>
        </w:tc>
      </w:tr>
      <w:tr>
        <w:trPr>
          <w:tblHeader w:val="false"/>
        </w:trPr>
        <w:tc>
          <w:tcPr>
            <w:tcW w:type="dxa" w:w="22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Quarterly Business Review (QBR)</w:t>
            </w:r>
          </w:p>
        </w:tc>
        <w:tc>
          <w:tcPr>
            <w:tcW w:type="dxa" w:w="18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Quarterly</w:t>
            </w:r>
          </w:p>
        </w:tc>
        <w:tc>
          <w:tcPr>
            <w:tcW w:type="dxa" w:w="216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Senior stakeholders both sides</w:t>
            </w:r>
          </w:p>
        </w:tc>
        <w:tc>
          <w:tcPr>
            <w:tcW w:type="dxa" w:w="32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Strategic alignment, roadmap, licence optimisation, renewal discussion</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Executive Escalation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Ad hoc</w:t>
            </w:r>
          </w:p>
        </w:tc>
        <w:tc>
          <w:tcPr>
            <w:tcW w:type="dxa" w:w="21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Exec sponsors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Unresolved escalations or strategic issues</w:t>
            </w:r>
          </w:p>
        </w:tc>
      </w:tr>
    </w:tbl>
    <w:p>
      <w:pPr>
        <w:spacing w:after="100" w:before="0"/>
      </w:pPr>
    </w:p>
    <w:p>
      <w:pPr>
        <w:pStyle w:val="Heading2"/>
        <w:spacing w:after="80" w:before="320"/>
      </w:pPr>
      <w:r>
        <w:rPr>
          <w:rFonts w:ascii="Arial" w:cs="Arial" w:eastAsia="Arial" w:hAnsi="Arial"/>
          <w:b/>
          <w:bCs/>
          <w:color w:val="00789A"/>
          <w:sz w:val="26"/>
          <w:szCs w:val="26"/>
        </w:rPr>
        <w:t xml:space="preserve">6.2  Operational Engagement</w:t>
      </w:r>
    </w:p>
    <w:p>
      <w:pPr>
        <w:spacing w:after="100" w:before="60"/>
      </w:pPr>
      <w:r>
        <w:rPr>
          <w:rFonts w:ascii="Arial" w:cs="Arial" w:eastAsia="Arial" w:hAnsi="Arial"/>
          <w:sz w:val="22"/>
          <w:szCs w:val="22"/>
        </w:rPr>
        <w:t xml:space="preserve">Day-to-day engagement is managed through the Cloudors service portal, which provides:</w:t>
      </w:r>
    </w:p>
    <w:p>
      <w:pPr>
        <w:pStyle w:val="ListParagraph"/>
        <w:numPr>
          <w:ilvl w:val="0"/>
          <w:numId w:val="2"/>
        </w:numPr>
        <w:spacing w:after="60" w:before="40"/>
      </w:pPr>
      <w:r>
        <w:rPr>
          <w:rFonts w:ascii="Arial" w:cs="Arial" w:eastAsia="Arial" w:hAnsi="Arial"/>
          <w:sz w:val="22"/>
          <w:szCs w:val="22"/>
        </w:rPr>
        <w:t xml:space="preserve">Real-time ticket logging and status tracking</w:t>
      </w:r>
    </w:p>
    <w:p>
      <w:pPr>
        <w:pStyle w:val="ListParagraph"/>
        <w:numPr>
          <w:ilvl w:val="0"/>
          <w:numId w:val="2"/>
        </w:numPr>
        <w:spacing w:after="60" w:before="40"/>
      </w:pPr>
      <w:r>
        <w:rPr>
          <w:rFonts w:ascii="Arial" w:cs="Arial" w:eastAsia="Arial" w:hAnsi="Arial"/>
          <w:sz w:val="22"/>
          <w:szCs w:val="22"/>
        </w:rPr>
        <w:t xml:space="preserve">Direct messaging to the assigned consultant on each ticket</w:t>
      </w:r>
    </w:p>
    <w:p>
      <w:pPr>
        <w:pStyle w:val="ListParagraph"/>
        <w:numPr>
          <w:ilvl w:val="0"/>
          <w:numId w:val="2"/>
        </w:numPr>
        <w:spacing w:after="60" w:before="40"/>
      </w:pPr>
      <w:r>
        <w:rPr>
          <w:rFonts w:ascii="Arial" w:cs="Arial" w:eastAsia="Arial" w:hAnsi="Arial"/>
          <w:sz w:val="22"/>
          <w:szCs w:val="22"/>
        </w:rPr>
        <w:t xml:space="preserve">Document repository for configuration records, test scripts, and release notes</w:t>
      </w:r>
    </w:p>
    <w:p>
      <w:pPr>
        <w:pStyle w:val="ListParagraph"/>
        <w:numPr>
          <w:ilvl w:val="0"/>
          <w:numId w:val="2"/>
        </w:numPr>
        <w:spacing w:after="60" w:before="40"/>
      </w:pPr>
      <w:r>
        <w:rPr>
          <w:rFonts w:ascii="Arial" w:cs="Arial" w:eastAsia="Arial" w:hAnsi="Arial"/>
          <w:sz w:val="22"/>
          <w:szCs w:val="22"/>
        </w:rPr>
        <w:t xml:space="preserve">Notification alerts for SLA milestones and upcoming Oracle releases</w:t>
      </w:r>
    </w:p>
    <w:p>
      <w:pPr>
        <w:spacing w:after="100" w:before="0"/>
      </w:pPr>
    </w:p>
    <w:p>
      <w:pPr>
        <w:spacing w:after="100" w:before="60"/>
      </w:pPr>
      <w:r>
        <w:rPr>
          <w:rFonts w:ascii="Arial" w:cs="Arial" w:eastAsia="Arial" w:hAnsi="Arial"/>
          <w:sz w:val="22"/>
          <w:szCs w:val="22"/>
        </w:rPr>
        <w:t xml:space="preserve">Email and phone contact with the assigned team is available during business hours. Out-of-hours contact is available for P1 Critical incidents only, via the emergency contact number provided at engagement start.</w:t>
      </w:r>
    </w:p>
    <w:p>
      <w:pPr>
        <w:spacing w:after="100" w:before="0"/>
      </w:pPr>
    </w:p>
    <w:p>
      <w:pPr>
        <w:pStyle w:val="Heading2"/>
        <w:spacing w:after="80" w:before="320"/>
      </w:pPr>
      <w:r>
        <w:rPr>
          <w:rFonts w:ascii="Arial" w:cs="Arial" w:eastAsia="Arial" w:hAnsi="Arial"/>
          <w:b/>
          <w:bCs/>
          <w:color w:val="00789A"/>
          <w:sz w:val="26"/>
          <w:szCs w:val="26"/>
        </w:rPr>
        <w:t xml:space="preserve">6.3  Change Management</w:t>
      </w:r>
    </w:p>
    <w:p>
      <w:pPr>
        <w:spacing w:after="100" w:before="60"/>
      </w:pPr>
      <w:r>
        <w:rPr>
          <w:rFonts w:ascii="Arial" w:cs="Arial" w:eastAsia="Arial" w:hAnsi="Arial"/>
          <w:sz w:val="22"/>
          <w:szCs w:val="22"/>
        </w:rPr>
        <w:t xml:space="preserve">Any change to Oracle Cloud configuration — whether driven by a business process update, Oracle release, or system improvement — follows a structured change process:</w:t>
      </w:r>
    </w:p>
    <w:p>
      <w:pPr>
        <w:spacing w:after="100" w:before="0"/>
      </w:pPr>
    </w:p>
    <w:p>
      <w:pPr>
        <w:spacing w:after="60" w:before="60"/>
      </w:pPr>
      <w:r>
        <w:rPr>
          <w:rFonts w:ascii="Arial" w:cs="Arial" w:eastAsia="Arial" w:hAnsi="Arial"/>
          <w:b/>
          <w:bCs/>
          <w:color w:val="00789A"/>
          <w:sz w:val="22"/>
          <w:szCs w:val="22"/>
        </w:rPr>
        <w:t xml:space="preserve">Step 1  </w:t>
      </w:r>
      <w:r>
        <w:rPr>
          <w:rFonts w:ascii="Arial" w:cs="Arial" w:eastAsia="Arial" w:hAnsi="Arial"/>
          <w:sz w:val="22"/>
          <w:szCs w:val="22"/>
        </w:rPr>
        <w:t xml:space="preserve">Change request logged in service portal by client or Cloudors team</w:t>
      </w:r>
    </w:p>
    <w:p>
      <w:pPr>
        <w:spacing w:after="60" w:before="60"/>
      </w:pPr>
      <w:r>
        <w:rPr>
          <w:rFonts w:ascii="Arial" w:cs="Arial" w:eastAsia="Arial" w:hAnsi="Arial"/>
          <w:b/>
          <w:bCs/>
          <w:color w:val="00789A"/>
          <w:sz w:val="22"/>
          <w:szCs w:val="22"/>
        </w:rPr>
        <w:t xml:space="preserve">Step 2  </w:t>
      </w:r>
      <w:r>
        <w:rPr>
          <w:rFonts w:ascii="Arial" w:cs="Arial" w:eastAsia="Arial" w:hAnsi="Arial"/>
          <w:sz w:val="22"/>
          <w:szCs w:val="22"/>
        </w:rPr>
        <w:t xml:space="preserve">Impact assessment completed by Cloudors functional consultant</w:t>
      </w:r>
    </w:p>
    <w:p>
      <w:pPr>
        <w:spacing w:after="60" w:before="60"/>
      </w:pPr>
      <w:r>
        <w:rPr>
          <w:rFonts w:ascii="Arial" w:cs="Arial" w:eastAsia="Arial" w:hAnsi="Arial"/>
          <w:b/>
          <w:bCs/>
          <w:color w:val="00789A"/>
          <w:sz w:val="22"/>
          <w:szCs w:val="22"/>
        </w:rPr>
        <w:t xml:space="preserve">Step 3  </w:t>
      </w:r>
      <w:r>
        <w:rPr>
          <w:rFonts w:ascii="Arial" w:cs="Arial" w:eastAsia="Arial" w:hAnsi="Arial"/>
          <w:sz w:val="22"/>
          <w:szCs w:val="22"/>
        </w:rPr>
        <w:t xml:space="preserve">Change reviewed and approved by Client Lead</w:t>
      </w:r>
    </w:p>
    <w:p>
      <w:pPr>
        <w:spacing w:after="60" w:before="60"/>
      </w:pPr>
      <w:r>
        <w:rPr>
          <w:rFonts w:ascii="Arial" w:cs="Arial" w:eastAsia="Arial" w:hAnsi="Arial"/>
          <w:b/>
          <w:bCs/>
          <w:color w:val="00789A"/>
          <w:sz w:val="22"/>
          <w:szCs w:val="22"/>
        </w:rPr>
        <w:t xml:space="preserve">Step 4  </w:t>
      </w:r>
      <w:r>
        <w:rPr>
          <w:rFonts w:ascii="Arial" w:cs="Arial" w:eastAsia="Arial" w:hAnsi="Arial"/>
          <w:sz w:val="22"/>
          <w:szCs w:val="22"/>
        </w:rPr>
        <w:t xml:space="preserve">Change tested in UAT environment with client sign-off</w:t>
      </w:r>
    </w:p>
    <w:p>
      <w:pPr>
        <w:spacing w:after="120" w:before="60"/>
      </w:pPr>
      <w:r>
        <w:rPr>
          <w:rFonts w:ascii="Arial" w:cs="Arial" w:eastAsia="Arial" w:hAnsi="Arial"/>
          <w:b/>
          <w:bCs/>
          <w:color w:val="00789A"/>
          <w:sz w:val="22"/>
          <w:szCs w:val="22"/>
        </w:rPr>
        <w:t xml:space="preserve">Step 5  </w:t>
      </w:r>
      <w:r>
        <w:rPr>
          <w:rFonts w:ascii="Arial" w:cs="Arial" w:eastAsia="Arial" w:hAnsi="Arial"/>
          <w:sz w:val="22"/>
          <w:szCs w:val="22"/>
        </w:rPr>
        <w:t xml:space="preserve">Change deployed to production and documented</w:t>
      </w:r>
    </w:p>
    <w:p>
      <w:pPr>
        <w:spacing w:after="100" w:before="0"/>
      </w:pPr>
    </w:p>
    <w:p>
      <w:pPr>
        <w:pStyle w:val="Heading2"/>
        <w:spacing w:after="80" w:before="320"/>
      </w:pPr>
      <w:r>
        <w:rPr>
          <w:rFonts w:ascii="Arial" w:cs="Arial" w:eastAsia="Arial" w:hAnsi="Arial"/>
          <w:b/>
          <w:bCs/>
          <w:color w:val="00789A"/>
          <w:sz w:val="26"/>
          <w:szCs w:val="26"/>
        </w:rPr>
        <w:t xml:space="preserve">6.4  Oracle Quarterly Update Process</w:t>
      </w:r>
    </w:p>
    <w:p>
      <w:pPr>
        <w:spacing w:after="100" w:before="60"/>
      </w:pPr>
      <w:r>
        <w:rPr>
          <w:rFonts w:ascii="Arial" w:cs="Arial" w:eastAsia="Arial" w:hAnsi="Arial"/>
          <w:sz w:val="22"/>
          <w:szCs w:val="22"/>
        </w:rPr>
        <w:t xml:space="preserve">Oracle releases two mandatory quarterly updates per year and two optional updates. Cloudors manages the full update cycle for MUCS clients:</w:t>
      </w:r>
    </w:p>
    <w:p>
      <w:pPr>
        <w:pStyle w:val="ListParagraph"/>
        <w:numPr>
          <w:ilvl w:val="0"/>
          <w:numId w:val="2"/>
        </w:numPr>
        <w:spacing w:after="60" w:before="40"/>
      </w:pPr>
      <w:r>
        <w:rPr>
          <w:rFonts w:ascii="Arial" w:cs="Arial" w:eastAsia="Arial" w:hAnsi="Arial"/>
          <w:sz w:val="22"/>
          <w:szCs w:val="22"/>
        </w:rPr>
        <w:t xml:space="preserve">Release notes reviewed and summarised within two weeks of Oracle publication</w:t>
      </w:r>
    </w:p>
    <w:p>
      <w:pPr>
        <w:pStyle w:val="ListParagraph"/>
        <w:numPr>
          <w:ilvl w:val="0"/>
          <w:numId w:val="2"/>
        </w:numPr>
        <w:spacing w:after="60" w:before="40"/>
      </w:pPr>
      <w:r>
        <w:rPr>
          <w:rFonts w:ascii="Arial" w:cs="Arial" w:eastAsia="Arial" w:hAnsi="Arial"/>
          <w:sz w:val="22"/>
          <w:szCs w:val="22"/>
        </w:rPr>
        <w:t xml:space="preserve">Impact assessment prepared for the client environment, highlighting configuration risks and new features relevant to the client</w:t>
      </w:r>
    </w:p>
    <w:p>
      <w:pPr>
        <w:pStyle w:val="ListParagraph"/>
        <w:numPr>
          <w:ilvl w:val="0"/>
          <w:numId w:val="2"/>
        </w:numPr>
        <w:spacing w:after="60" w:before="40"/>
      </w:pPr>
      <w:r>
        <w:rPr>
          <w:rFonts w:ascii="Arial" w:cs="Arial" w:eastAsia="Arial" w:hAnsi="Arial"/>
          <w:sz w:val="22"/>
          <w:szCs w:val="22"/>
        </w:rPr>
        <w:t xml:space="preserve">Testing plan agreed with Client Lead and executed in UAT environment</w:t>
      </w:r>
    </w:p>
    <w:p>
      <w:pPr>
        <w:pStyle w:val="ListParagraph"/>
        <w:numPr>
          <w:ilvl w:val="0"/>
          <w:numId w:val="2"/>
        </w:numPr>
        <w:spacing w:after="60" w:before="40"/>
      </w:pPr>
      <w:r>
        <w:rPr>
          <w:rFonts w:ascii="Arial" w:cs="Arial" w:eastAsia="Arial" w:hAnsi="Arial"/>
          <w:sz w:val="22"/>
          <w:szCs w:val="22"/>
        </w:rPr>
        <w:t xml:space="preserve">Client sign-off obtained before production deployment</w:t>
      </w:r>
    </w:p>
    <w:p>
      <w:pPr>
        <w:pStyle w:val="ListParagraph"/>
        <w:numPr>
          <w:ilvl w:val="0"/>
          <w:numId w:val="2"/>
        </w:numPr>
        <w:spacing w:after="60" w:before="40"/>
      </w:pPr>
      <w:r>
        <w:rPr>
          <w:rFonts w:ascii="Arial" w:cs="Arial" w:eastAsia="Arial" w:hAnsi="Arial"/>
          <w:sz w:val="22"/>
          <w:szCs w:val="22"/>
        </w:rPr>
        <w:t xml:space="preserve">Post-deployment monitoring for 48 hours with rapid response if issues arise</w:t>
      </w:r>
    </w:p>
    <w:p>
      <w:pPr>
        <w:spacing w:after="100" w:before="0"/>
      </w:pPr>
    </w:p>
    <w:p>
      <w:r>
        <w:br w:type="page"/>
      </w:r>
    </w:p>
    <w:p>
      <w:pPr>
        <w:pStyle w:val="Heading1"/>
        <w:spacing w:after="80" w:before="480"/>
      </w:pPr>
      <w:r>
        <w:rPr>
          <w:rFonts w:ascii="Arial" w:cs="Arial" w:eastAsia="Arial" w:hAnsi="Arial"/>
          <w:b/>
          <w:bCs/>
          <w:color w:val="003366"/>
          <w:sz w:val="36"/>
          <w:szCs w:val="36"/>
        </w:rPr>
        <w:t xml:space="preserve">7. Escalation Path</w:t>
      </w:r>
    </w:p>
    <w:p>
      <w:pPr>
        <w:pBdr>
          <w:bottom w:val="single" w:color="00789A" w:sz="8" w:space="4"/>
        </w:pBdr>
        <w:spacing w:after="160" w:before="0"/>
      </w:pPr>
    </w:p>
    <w:p>
      <w:pPr>
        <w:spacing w:after="100" w:before="60"/>
      </w:pPr>
      <w:r>
        <w:rPr>
          <w:rFonts w:ascii="Arial" w:cs="Arial" w:eastAsia="Arial" w:hAnsi="Arial"/>
          <w:sz w:val="22"/>
          <w:szCs w:val="22"/>
        </w:rPr>
        <w:t xml:space="preserve">If a ticket or situation is not progressing at the expected pace, clients may escalate through the following path. Cloudors encourages clients to escalate early — escalation is not a failure; it is part of the model.</w:t>
      </w:r>
    </w:p>
    <w:p>
      <w:pPr>
        <w:spacing w:after="1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800"/>
        <w:gridCol w:w="2560"/>
        <w:gridCol w:w="2600"/>
      </w:tblGrid>
      <w:tr>
        <w:trPr>
          <w:tblHeader/>
        </w:trPr>
        <w:tc>
          <w:tcPr>
            <w:tcW w:type="dxa" w:w="140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Level</w:t>
            </w:r>
          </w:p>
        </w:tc>
        <w:tc>
          <w:tcPr>
            <w:tcW w:type="dxa" w:w="280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Trigger</w:t>
            </w:r>
          </w:p>
        </w:tc>
        <w:tc>
          <w:tcPr>
            <w:tcW w:type="dxa" w:w="256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Cloudors Owner</w:t>
            </w:r>
          </w:p>
        </w:tc>
        <w:tc>
          <w:tcPr>
            <w:tcW w:type="dxa" w:w="260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Resolution Target</w:t>
            </w:r>
          </w:p>
        </w:tc>
      </w:tr>
      <w:tr>
        <w:trPr>
          <w:tblHeader w:val="false"/>
        </w:trPr>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L1</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Standard ticket SLA at risk</w:t>
            </w:r>
          </w:p>
        </w:tc>
        <w:tc>
          <w:tcPr>
            <w:tcW w:type="dxa" w:w="2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Assigned Consultant</w:t>
            </w:r>
          </w:p>
        </w:tc>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Within SLA window</w:t>
            </w:r>
          </w:p>
        </w:tc>
      </w:tr>
      <w:tr>
        <w:trPr>
          <w:tblHeader w:val="false"/>
        </w:trPr>
        <w:tc>
          <w:tcPr>
            <w:tcW w:type="dxa" w:w="14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L2</w:t>
            </w:r>
          </w:p>
        </w:tc>
        <w:tc>
          <w:tcPr>
            <w:tcW w:type="dxa" w:w="28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SLA breached or complex blocker</w:t>
            </w:r>
          </w:p>
        </w:tc>
        <w:tc>
          <w:tcPr>
            <w:tcW w:type="dxa" w:w="256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Engagement Manager / Senior Consultant</w:t>
            </w:r>
          </w:p>
        </w:tc>
        <w:tc>
          <w:tcPr>
            <w:tcW w:type="dxa" w:w="26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Within 4 business hours of escalation</w:t>
            </w:r>
          </w:p>
        </w:tc>
      </w:tr>
      <w:tr>
        <w:trPr>
          <w:tblHeader w:val="false"/>
        </w:trPr>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L3</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Client escalation or strategic risk</w:t>
            </w:r>
          </w:p>
        </w:tc>
        <w:tc>
          <w:tcPr>
            <w:tcW w:type="dxa" w:w="2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Practice Director</w:t>
            </w:r>
          </w:p>
        </w:tc>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Within 1 business day</w:t>
            </w:r>
          </w:p>
        </w:tc>
      </w:tr>
      <w:tr>
        <w:trPr>
          <w:tblHeader w:val="false"/>
        </w:trPr>
        <w:tc>
          <w:tcPr>
            <w:tcW w:type="dxa" w:w="14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L4</w:t>
            </w:r>
          </w:p>
        </w:tc>
        <w:tc>
          <w:tcPr>
            <w:tcW w:type="dxa" w:w="28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Unresolved at L3 or executive concern</w:t>
            </w:r>
          </w:p>
        </w:tc>
        <w:tc>
          <w:tcPr>
            <w:tcW w:type="dxa" w:w="256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CEO / Executive Sponsor</w:t>
            </w:r>
          </w:p>
        </w:tc>
        <w:tc>
          <w:tcPr>
            <w:tcW w:type="dxa" w:w="26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Same business day</w:t>
            </w:r>
          </w:p>
        </w:tc>
      </w:tr>
    </w:tbl>
    <w:p>
      <w:pPr>
        <w:spacing w:after="100" w:before="0"/>
      </w:pPr>
    </w:p>
    <w:p>
      <w:pPr>
        <w:spacing w:after="100" w:before="60"/>
      </w:pPr>
      <w:r>
        <w:rPr>
          <w:rFonts w:ascii="Arial" w:cs="Arial" w:eastAsia="Arial" w:hAnsi="Arial"/>
          <w:sz w:val="22"/>
          <w:szCs w:val="22"/>
        </w:rPr>
        <w:t xml:space="preserve">Escalations should be initiated by the Client Lead contacting the Cloudors PM directly, with a clear description of the issue, business impact, and resolution expected. Cloudors will acknowledge all escalations within 30 minutes during business hours.</w:t>
      </w:r>
    </w:p>
    <w:p>
      <w:pPr>
        <w:spacing w:after="100" w:before="0"/>
      </w:pPr>
    </w:p>
    <w:p>
      <w:r>
        <w:br w:type="page"/>
      </w:r>
    </w:p>
    <w:p>
      <w:pPr>
        <w:pStyle w:val="Heading1"/>
        <w:spacing w:after="80" w:before="480"/>
      </w:pPr>
      <w:r>
        <w:rPr>
          <w:rFonts w:ascii="Arial" w:cs="Arial" w:eastAsia="Arial" w:hAnsi="Arial"/>
          <w:b/>
          <w:bCs/>
          <w:color w:val="003366"/>
          <w:sz w:val="36"/>
          <w:szCs w:val="36"/>
        </w:rPr>
        <w:t xml:space="preserve">8. Client Responsibilities</w:t>
      </w:r>
    </w:p>
    <w:p>
      <w:pPr>
        <w:pBdr>
          <w:bottom w:val="single" w:color="00789A" w:sz="8" w:space="4"/>
        </w:pBdr>
        <w:spacing w:after="160" w:before="0"/>
      </w:pPr>
    </w:p>
    <w:p>
      <w:pPr>
        <w:spacing w:after="100" w:before="60"/>
      </w:pPr>
      <w:r>
        <w:rPr>
          <w:rFonts w:ascii="Arial" w:cs="Arial" w:eastAsia="Arial" w:hAnsi="Arial"/>
          <w:sz w:val="22"/>
          <w:szCs w:val="22"/>
        </w:rPr>
        <w:t xml:space="preserve">MUCS operates as a partnership. To achieve the service levels described in this document, clients are expected to fulfil the following responsibilities:</w:t>
      </w:r>
    </w:p>
    <w:p>
      <w:pPr>
        <w:spacing w:after="100" w:before="0"/>
      </w:pPr>
    </w:p>
    <w:p>
      <w:pPr>
        <w:pStyle w:val="Heading2"/>
        <w:spacing w:after="80" w:before="320"/>
      </w:pPr>
      <w:r>
        <w:rPr>
          <w:rFonts w:ascii="Arial" w:cs="Arial" w:eastAsia="Arial" w:hAnsi="Arial"/>
          <w:b/>
          <w:bCs/>
          <w:color w:val="00789A"/>
          <w:sz w:val="26"/>
          <w:szCs w:val="26"/>
        </w:rPr>
        <w:t xml:space="preserve">8.1  Named Client Lead</w:t>
      </w:r>
    </w:p>
    <w:p>
      <w:pPr>
        <w:spacing w:after="100" w:before="60"/>
      </w:pPr>
      <w:r>
        <w:rPr>
          <w:rFonts w:ascii="Arial" w:cs="Arial" w:eastAsia="Arial" w:hAnsi="Arial"/>
          <w:sz w:val="22"/>
          <w:szCs w:val="22"/>
        </w:rPr>
        <w:t xml:space="preserve">A single named individual empowered to approve configuration changes, prioritise competing requests, and act as the primary point of contact for governance. The Client Lead should be available during business hours and should attend all governance meetings.</w:t>
      </w:r>
    </w:p>
    <w:p>
      <w:pPr>
        <w:spacing w:after="100" w:before="0"/>
      </w:pPr>
    </w:p>
    <w:p>
      <w:pPr>
        <w:pStyle w:val="Heading2"/>
        <w:spacing w:after="80" w:before="320"/>
      </w:pPr>
      <w:r>
        <w:rPr>
          <w:rFonts w:ascii="Arial" w:cs="Arial" w:eastAsia="Arial" w:hAnsi="Arial"/>
          <w:b/>
          <w:bCs/>
          <w:color w:val="00789A"/>
          <w:sz w:val="26"/>
          <w:szCs w:val="26"/>
        </w:rPr>
        <w:t xml:space="preserve">8.2  Timely Approvals</w:t>
      </w:r>
    </w:p>
    <w:p>
      <w:pPr>
        <w:spacing w:after="100" w:before="60"/>
      </w:pPr>
      <w:r>
        <w:rPr>
          <w:rFonts w:ascii="Arial" w:cs="Arial" w:eastAsia="Arial" w:hAnsi="Arial"/>
          <w:sz w:val="22"/>
          <w:szCs w:val="22"/>
        </w:rPr>
        <w:t xml:space="preserve">SLA clocks pause when Cloudors is awaiting client approval, information, or access. Clients should aim to respond to approval requests within one business day to maintain service momentum.</w:t>
      </w:r>
    </w:p>
    <w:p>
      <w:pPr>
        <w:spacing w:after="100" w:before="0"/>
      </w:pPr>
    </w:p>
    <w:p>
      <w:pPr>
        <w:pStyle w:val="Heading2"/>
        <w:spacing w:after="80" w:before="320"/>
      </w:pPr>
      <w:r>
        <w:rPr>
          <w:rFonts w:ascii="Arial" w:cs="Arial" w:eastAsia="Arial" w:hAnsi="Arial"/>
          <w:b/>
          <w:bCs/>
          <w:color w:val="00789A"/>
          <w:sz w:val="26"/>
          <w:szCs w:val="26"/>
        </w:rPr>
        <w:t xml:space="preserve">8.3  UAT Participation</w:t>
      </w:r>
    </w:p>
    <w:p>
      <w:pPr>
        <w:spacing w:after="100" w:before="60"/>
      </w:pPr>
      <w:r>
        <w:rPr>
          <w:rFonts w:ascii="Arial" w:cs="Arial" w:eastAsia="Arial" w:hAnsi="Arial"/>
          <w:sz w:val="22"/>
          <w:szCs w:val="22"/>
        </w:rPr>
        <w:t xml:space="preserve">Change testing requires client participation. Business process owners should be available to conduct UAT within the agreed testing window before any production deployment.</w:t>
      </w:r>
    </w:p>
    <w:p>
      <w:pPr>
        <w:spacing w:after="100" w:before="0"/>
      </w:pPr>
    </w:p>
    <w:p>
      <w:pPr>
        <w:pStyle w:val="Heading2"/>
        <w:spacing w:after="80" w:before="320"/>
      </w:pPr>
      <w:r>
        <w:rPr>
          <w:rFonts w:ascii="Arial" w:cs="Arial" w:eastAsia="Arial" w:hAnsi="Arial"/>
          <w:b/>
          <w:bCs/>
          <w:color w:val="00789A"/>
          <w:sz w:val="26"/>
          <w:szCs w:val="26"/>
        </w:rPr>
        <w:t xml:space="preserve">8.4  Environment Access</w:t>
      </w:r>
    </w:p>
    <w:p>
      <w:pPr>
        <w:spacing w:after="100" w:before="60"/>
      </w:pPr>
      <w:r>
        <w:rPr>
          <w:rFonts w:ascii="Arial" w:cs="Arial" w:eastAsia="Arial" w:hAnsi="Arial"/>
          <w:sz w:val="22"/>
          <w:szCs w:val="22"/>
        </w:rPr>
        <w:t xml:space="preserve">Cloudors must maintain active access to all Oracle Cloud environments (production, UAT, development) and any integration middleware in scope. Access changes should be communicated to the Cloudors PM within one business day.</w:t>
      </w:r>
    </w:p>
    <w:p>
      <w:pPr>
        <w:spacing w:after="100" w:before="0"/>
      </w:pPr>
    </w:p>
    <w:p>
      <w:pPr>
        <w:pStyle w:val="Heading2"/>
        <w:spacing w:after="80" w:before="320"/>
      </w:pPr>
      <w:r>
        <w:rPr>
          <w:rFonts w:ascii="Arial" w:cs="Arial" w:eastAsia="Arial" w:hAnsi="Arial"/>
          <w:b/>
          <w:bCs/>
          <w:color w:val="00789A"/>
          <w:sz w:val="26"/>
          <w:szCs w:val="26"/>
        </w:rPr>
        <w:t xml:space="preserve">8.5  Accurate Ticket Logging</w:t>
      </w:r>
    </w:p>
    <w:p>
      <w:pPr>
        <w:spacing w:after="100" w:before="60"/>
      </w:pPr>
      <w:r>
        <w:rPr>
          <w:rFonts w:ascii="Arial" w:cs="Arial" w:eastAsia="Arial" w:hAnsi="Arial"/>
          <w:sz w:val="22"/>
          <w:szCs w:val="22"/>
        </w:rPr>
        <w:t xml:space="preserve">Tickets should be logged through the service portal with a clear description, business impact, and any relevant screenshots or supporting files. Accurate logging enables faster triage and resolution and ensures correct SLA priority assignment.</w:t>
      </w:r>
    </w:p>
    <w:p>
      <w:pPr>
        <w:spacing w:after="100" w:before="0"/>
      </w:pPr>
    </w:p>
    <w:p>
      <w:r>
        <w:br w:type="page"/>
      </w:r>
    </w:p>
    <w:p>
      <w:pPr>
        <w:pStyle w:val="Heading1"/>
        <w:spacing w:after="80" w:before="480"/>
      </w:pPr>
      <w:r>
        <w:rPr>
          <w:rFonts w:ascii="Arial" w:cs="Arial" w:eastAsia="Arial" w:hAnsi="Arial"/>
          <w:b/>
          <w:bCs/>
          <w:color w:val="003366"/>
          <w:sz w:val="36"/>
          <w:szCs w:val="36"/>
        </w:rPr>
        <w:t xml:space="preserve">9. Reporting &amp; Key Performance Indicators</w:t>
      </w:r>
    </w:p>
    <w:p>
      <w:pPr>
        <w:pBdr>
          <w:bottom w:val="single" w:color="00789A" w:sz="8" w:space="4"/>
        </w:pBdr>
        <w:spacing w:after="160" w:before="0"/>
      </w:pPr>
    </w:p>
    <w:p>
      <w:pPr>
        <w:spacing w:after="100" w:before="60"/>
      </w:pPr>
      <w:r>
        <w:rPr>
          <w:rFonts w:ascii="Arial" w:cs="Arial" w:eastAsia="Arial" w:hAnsi="Arial"/>
          <w:sz w:val="22"/>
          <w:szCs w:val="22"/>
        </w:rPr>
        <w:t xml:space="preserve">The following KPIs are tracked and reported monthly. Targets are baseline commitments; Cloudors aims to exceed them.</w:t>
      </w:r>
    </w:p>
    <w:p>
      <w:pPr>
        <w:spacing w:after="1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000"/>
        <w:gridCol w:w="3760"/>
      </w:tblGrid>
      <w:tr>
        <w:trPr>
          <w:tblHeader/>
        </w:trPr>
        <w:tc>
          <w:tcPr>
            <w:tcW w:type="dxa" w:w="360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KPI</w:t>
            </w:r>
          </w:p>
        </w:tc>
        <w:tc>
          <w:tcPr>
            <w:tcW w:type="dxa" w:w="200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Target</w:t>
            </w:r>
          </w:p>
        </w:tc>
        <w:tc>
          <w:tcPr>
            <w:tcW w:type="dxa" w:w="3760"/>
            <w:tcBorders>
              <w:top w:val="single" w:color="00789A" w:sz="1"/>
              <w:left w:val="single" w:color="00789A" w:sz="1"/>
              <w:bottom w:val="single" w:color="00789A" w:sz="1"/>
              <w:right w:val="single" w:color="00789A" w:sz="1"/>
            </w:tcBorders>
            <w:shd w:fill="D6EAF3" w:val="clear"/>
            <w:tcMar>
              <w:top w:type="dxa" w:w="100"/>
              <w:left w:type="dxa" w:w="140"/>
              <w:bottom w:type="dxa" w:w="100"/>
              <w:right w:type="dxa" w:w="140"/>
            </w:tcMar>
            <w:vAlign w:val="center"/>
          </w:tcPr>
          <w:p>
            <w:pPr>
              <w:jc w:val="center"/>
            </w:pPr>
            <w:r>
              <w:rPr>
                <w:rFonts w:ascii="Arial" w:cs="Arial" w:eastAsia="Arial" w:hAnsi="Arial"/>
                <w:b/>
                <w:bCs/>
                <w:color w:val="003366"/>
                <w:sz w:val="20"/>
                <w:szCs w:val="20"/>
              </w:rPr>
              <w:t xml:space="preserve">Measurement</w:t>
            </w:r>
          </w:p>
        </w:tc>
      </w:tr>
      <w:tr>
        <w:tc>
          <w:tcPr>
            <w:tcW w:type="dxa" w:w="36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P1 SLA Compliance</w:t>
            </w:r>
          </w:p>
        </w:tc>
        <w:tc>
          <w:tcPr>
            <w:tcW w:type="dxa" w:w="20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center"/>
            </w:pPr>
            <w:r>
              <w:rPr>
                <w:rFonts w:ascii="Arial" w:cs="Arial" w:eastAsia="Arial" w:hAnsi="Arial"/>
                <w:color w:val="222222"/>
                <w:sz w:val="20"/>
                <w:szCs w:val="20"/>
              </w:rPr>
              <w:t xml:space="preserve">≥ 95%</w:t>
            </w:r>
          </w:p>
        </w:tc>
        <w:tc>
          <w:tcPr>
            <w:tcW w:type="dxa" w:w="376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 of P1 tickets resolved within 4 hours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P2 SLA Compliance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center"/>
            </w:pPr>
            <w:r>
              <w:rPr>
                <w:rFonts w:ascii="Arial" w:cs="Arial" w:eastAsia="Arial" w:hAnsi="Arial"/>
                <w:color w:val="222222"/>
                <w:sz w:val="20"/>
                <w:szCs w:val="20"/>
              </w:rPr>
              <w:t xml:space="preserve">≥ 95%</w:t>
            </w:r>
          </w:p>
        </w:tc>
        <w:tc>
          <w:tcPr>
            <w:tcW w:type="dxa" w:w="3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 of P2 tickets resolved within 8 business hours</w:t>
            </w:r>
          </w:p>
        </w:tc>
      </w:tr>
      <w:tr>
        <w:tc>
          <w:tcPr>
            <w:tcW w:type="dxa" w:w="36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P3 SLA Compliance</w:t>
            </w:r>
          </w:p>
        </w:tc>
        <w:tc>
          <w:tcPr>
            <w:tcW w:type="dxa" w:w="20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center"/>
            </w:pPr>
            <w:r>
              <w:rPr>
                <w:rFonts w:ascii="Arial" w:cs="Arial" w:eastAsia="Arial" w:hAnsi="Arial"/>
                <w:color w:val="222222"/>
                <w:sz w:val="20"/>
                <w:szCs w:val="20"/>
              </w:rPr>
              <w:t xml:space="preserve">≥ 90%</w:t>
            </w:r>
          </w:p>
        </w:tc>
        <w:tc>
          <w:tcPr>
            <w:tcW w:type="dxa" w:w="376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 of P3 tickets resolved within 3 business days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First Response (all priorities)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center"/>
            </w:pPr>
            <w:r>
              <w:rPr>
                <w:rFonts w:ascii="Arial" w:cs="Arial" w:eastAsia="Arial" w:hAnsi="Arial"/>
                <w:color w:val="222222"/>
                <w:sz w:val="20"/>
                <w:szCs w:val="20"/>
              </w:rPr>
              <w:t xml:space="preserve">100%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 of tickets acknowledged within SLA window</w:t>
            </w:r>
          </w:p>
        </w:tc>
      </w:tr>
      <w:tr>
        <w:tc>
          <w:tcPr>
            <w:tcW w:type="dxa" w:w="36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Oracle Update Deployment On-Time</w:t>
            </w:r>
          </w:p>
        </w:tc>
        <w:tc>
          <w:tcPr>
            <w:tcW w:type="dxa" w:w="20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center"/>
            </w:pPr>
            <w:r>
              <w:rPr>
                <w:rFonts w:ascii="Arial" w:cs="Arial" w:eastAsia="Arial" w:hAnsi="Arial"/>
                <w:color w:val="222222"/>
                <w:sz w:val="20"/>
                <w:szCs w:val="20"/>
              </w:rPr>
              <w:t xml:space="preserve">100%</w:t>
            </w:r>
          </w:p>
        </w:tc>
        <w:tc>
          <w:tcPr>
            <w:tcW w:type="dxa" w:w="376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 of mandatory updates deployed before Oracle cutoff</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Monthly Report Delivery</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center"/>
            </w:pPr>
            <w:r>
              <w:rPr>
                <w:rFonts w:ascii="Arial" w:cs="Arial" w:eastAsia="Arial" w:hAnsi="Arial"/>
                <w:color w:val="222222"/>
                <w:sz w:val="20"/>
                <w:szCs w:val="20"/>
              </w:rPr>
              <w:t xml:space="preserve">Day 5 of following month</w:t>
            </w:r>
          </w:p>
        </w:tc>
        <w:tc>
          <w:tcPr>
            <w:tcW w:type="dxa" w:w="3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Report delivered by agreed date</w:t>
            </w:r>
          </w:p>
        </w:tc>
      </w:tr>
      <w:tr>
        <w:tc>
          <w:tcPr>
            <w:tcW w:type="dxa" w:w="36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r>
              <w:rPr>
                <w:rFonts w:ascii="Arial" w:cs="Arial" w:eastAsia="Arial" w:hAnsi="Arial"/>
                <w:b/>
                <w:bCs/>
                <w:color w:val="003366"/>
                <w:sz w:val="20"/>
                <w:szCs w:val="20"/>
              </w:rPr>
              <w:t xml:space="preserve">Governance Meeting Attendance</w:t>
            </w:r>
          </w:p>
        </w:tc>
        <w:tc>
          <w:tcPr>
            <w:tcW w:type="dxa" w:w="200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center"/>
            </w:pPr>
            <w:r>
              <w:rPr>
                <w:rFonts w:ascii="Arial" w:cs="Arial" w:eastAsia="Arial" w:hAnsi="Arial"/>
                <w:color w:val="222222"/>
                <w:sz w:val="20"/>
                <w:szCs w:val="20"/>
              </w:rPr>
              <w:t xml:space="preserve">≥ 90%</w:t>
            </w:r>
          </w:p>
        </w:tc>
        <w:tc>
          <w:tcPr>
            <w:tcW w:type="dxa" w:w="3760"/>
            <w:tcBorders>
              <w:top w:val="single" w:color="CCCCCC" w:sz="1"/>
              <w:left w:val="single" w:color="CCCCCC" w:sz="1"/>
              <w:bottom w:val="single" w:color="CCCCCC" w:sz="1"/>
              <w:right w:val="single" w:color="CCCCCC" w:sz="1"/>
            </w:tcBorders>
            <w:shd w:fill="F5F7FA"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 of scheduled meetings held</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r>
              <w:rPr>
                <w:rFonts w:ascii="Arial" w:cs="Arial" w:eastAsia="Arial" w:hAnsi="Arial"/>
                <w:b/>
                <w:bCs/>
                <w:color w:val="003366"/>
                <w:sz w:val="20"/>
                <w:szCs w:val="20"/>
              </w:rPr>
              <w:t xml:space="preserve">Client Satisfaction (CSAT)</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center"/>
            </w:pPr>
            <w:r>
              <w:rPr>
                <w:rFonts w:ascii="Arial" w:cs="Arial" w:eastAsia="Arial" w:hAnsi="Arial"/>
                <w:color w:val="222222"/>
                <w:sz w:val="20"/>
                <w:szCs w:val="20"/>
              </w:rPr>
              <w:t xml:space="preserve">≥ 4.0 / 5.0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center"/>
          </w:tcPr>
          <w:p>
            <w:pPr>
              <w:jc w:val="left"/>
            </w:pPr>
            <w:r>
              <w:rPr>
                <w:rFonts w:ascii="Arial" w:cs="Arial" w:eastAsia="Arial" w:hAnsi="Arial"/>
                <w:color w:val="222222"/>
                <w:sz w:val="20"/>
                <w:szCs w:val="20"/>
              </w:rPr>
              <w:t xml:space="preserve">Post-ticket survey score (quarterly aggregate)</w:t>
            </w:r>
          </w:p>
        </w:tc>
      </w:tr>
    </w:tbl>
    <w:p>
      <w:pPr>
        <w:spacing w:after="100" w:before="0"/>
      </w:pPr>
    </w:p>
    <w:p>
      <w:pPr>
        <w:spacing w:after="100" w:before="60"/>
      </w:pPr>
      <w:r>
        <w:rPr>
          <w:rFonts w:ascii="Arial" w:cs="Arial" w:eastAsia="Arial" w:hAnsi="Arial"/>
          <w:i/>
          <w:iCs/>
          <w:color w:val="555555"/>
          <w:sz w:val="22"/>
          <w:szCs w:val="22"/>
        </w:rPr>
        <w:t xml:space="preserve">KPI reports are included in the Monthly Activity Report. Significant under-performance against any KPI triggers a formal remediation plan agreed within five business days.</w:t>
      </w:r>
    </w:p>
    <w:p>
      <w:pPr>
        <w:spacing w:after="100" w:before="0"/>
      </w:pPr>
    </w:p>
    <w:p>
      <w:r>
        <w:br w:type="page"/>
      </w:r>
    </w:p>
    <w:p>
      <w:pPr>
        <w:pStyle w:val="Heading1"/>
        <w:spacing w:after="80" w:before="480"/>
      </w:pPr>
      <w:r>
        <w:rPr>
          <w:rFonts w:ascii="Arial" w:cs="Arial" w:eastAsia="Arial" w:hAnsi="Arial"/>
          <w:b/>
          <w:bCs/>
          <w:color w:val="003366"/>
          <w:sz w:val="36"/>
          <w:szCs w:val="36"/>
        </w:rPr>
        <w:t xml:space="preserve">10. Commercial Model</w:t>
      </w:r>
    </w:p>
    <w:p>
      <w:pPr>
        <w:pBdr>
          <w:bottom w:val="single" w:color="00789A" w:sz="8" w:space="4"/>
        </w:pBdr>
        <w:spacing w:after="160" w:before="0"/>
      </w:pPr>
    </w:p>
    <w:p>
      <w:pPr>
        <w:spacing w:after="100" w:before="60"/>
      </w:pPr>
      <w:r>
        <w:rPr>
          <w:rFonts w:ascii="Arial" w:cs="Arial" w:eastAsia="Arial" w:hAnsi="Arial"/>
          <w:sz w:val="22"/>
          <w:szCs w:val="22"/>
        </w:rPr>
        <w:t xml:space="preserve">MUCS is priced as a fixed monthly subscription. The subscription amount is agreed in the Order Form based on the number of Oracle Cloud modules in scope, the client user count, and the expected complexity of the environment.</w:t>
      </w:r>
    </w:p>
    <w:p>
      <w:pPr>
        <w:spacing w:after="100" w:before="0"/>
      </w:pPr>
    </w:p>
    <w:p>
      <w:pPr>
        <w:spacing w:after="100" w:before="60"/>
      </w:pPr>
      <w:r>
        <w:rPr>
          <w:rFonts w:ascii="Arial" w:cs="Arial" w:eastAsia="Arial" w:hAnsi="Arial"/>
          <w:sz w:val="22"/>
          <w:szCs w:val="22"/>
        </w:rPr>
        <w:t xml:space="preserve">Key commercial terms:</w:t>
      </w:r>
    </w:p>
    <w:p>
      <w:pPr>
        <w:pStyle w:val="ListParagraph"/>
        <w:numPr>
          <w:ilvl w:val="0"/>
          <w:numId w:val="2"/>
        </w:numPr>
        <w:spacing w:after="60" w:before="40"/>
      </w:pPr>
      <w:r>
        <w:rPr>
          <w:rFonts w:ascii="Arial" w:cs="Arial" w:eastAsia="Arial" w:hAnsi="Arial"/>
          <w:sz w:val="22"/>
          <w:szCs w:val="22"/>
        </w:rPr>
        <w:t xml:space="preserve">Fixed monthly fee — no per-ticket charges, no overage fees</w:t>
      </w:r>
    </w:p>
    <w:p>
      <w:pPr>
        <w:pStyle w:val="ListParagraph"/>
        <w:numPr>
          <w:ilvl w:val="0"/>
          <w:numId w:val="2"/>
        </w:numPr>
        <w:spacing w:after="60" w:before="40"/>
      </w:pPr>
      <w:r>
        <w:rPr>
          <w:rFonts w:ascii="Arial" w:cs="Arial" w:eastAsia="Arial" w:hAnsi="Arial"/>
          <w:sz w:val="22"/>
          <w:szCs w:val="22"/>
        </w:rPr>
        <w:t xml:space="preserve">Minimum engagement term: 12 months, renewable annually</w:t>
      </w:r>
    </w:p>
    <w:p>
      <w:pPr>
        <w:pStyle w:val="ListParagraph"/>
        <w:numPr>
          <w:ilvl w:val="0"/>
          <w:numId w:val="2"/>
        </w:numPr>
        <w:spacing w:after="60" w:before="40"/>
      </w:pPr>
      <w:r>
        <w:rPr>
          <w:rFonts w:ascii="Arial" w:cs="Arial" w:eastAsia="Arial" w:hAnsi="Arial"/>
          <w:sz w:val="22"/>
          <w:szCs w:val="22"/>
        </w:rPr>
        <w:t xml:space="preserve">30-day written notice required for scope changes (module additions or reductions)</w:t>
      </w:r>
    </w:p>
    <w:p>
      <w:pPr>
        <w:pStyle w:val="ListParagraph"/>
        <w:numPr>
          <w:ilvl w:val="0"/>
          <w:numId w:val="2"/>
        </w:numPr>
        <w:spacing w:after="60" w:before="40"/>
      </w:pPr>
      <w:r>
        <w:rPr>
          <w:rFonts w:ascii="Arial" w:cs="Arial" w:eastAsia="Arial" w:hAnsi="Arial"/>
          <w:sz w:val="22"/>
          <w:szCs w:val="22"/>
        </w:rPr>
        <w:t xml:space="preserve">Oracle licence fees are separate and remain the client's responsibility</w:t>
      </w:r>
    </w:p>
    <w:p>
      <w:pPr>
        <w:pStyle w:val="ListParagraph"/>
        <w:numPr>
          <w:ilvl w:val="0"/>
          <w:numId w:val="2"/>
        </w:numPr>
        <w:spacing w:after="60" w:before="40"/>
      </w:pPr>
      <w:r>
        <w:rPr>
          <w:rFonts w:ascii="Arial" w:cs="Arial" w:eastAsia="Arial" w:hAnsi="Arial"/>
          <w:sz w:val="22"/>
          <w:szCs w:val="22"/>
        </w:rPr>
        <w:t xml:space="preserve">Out-of-scope work (new implementations, integrations, major customisation) is quoted as a separate SOW</w:t>
      </w:r>
    </w:p>
    <w:p>
      <w:pPr>
        <w:spacing w:after="100" w:before="0"/>
      </w:pPr>
    </w:p>
    <w:p>
      <w:pPr>
        <w:spacing w:after="100" w:before="60"/>
      </w:pPr>
      <w:r>
        <w:rPr>
          <w:rFonts w:ascii="Arial" w:cs="Arial" w:eastAsia="Arial" w:hAnsi="Arial"/>
          <w:sz w:val="22"/>
          <w:szCs w:val="22"/>
        </w:rPr>
        <w:t xml:space="preserve">Pricing is available on request. Contact sales@thecloudors.com or your Cloudors account manager for a tailored proposal.</w:t>
      </w:r>
    </w:p>
    <w:p>
      <w:pPr>
        <w:spacing w:after="100" w:before="0"/>
      </w:pPr>
    </w:p>
    <w:p>
      <w:r>
        <w:br w:type="page"/>
      </w:r>
    </w:p>
    <w:p>
      <w:pPr>
        <w:pStyle w:val="Heading1"/>
        <w:spacing w:after="80" w:before="480"/>
      </w:pPr>
      <w:r>
        <w:rPr>
          <w:rFonts w:ascii="Arial" w:cs="Arial" w:eastAsia="Arial" w:hAnsi="Arial"/>
          <w:b/>
          <w:bCs/>
          <w:color w:val="003366"/>
          <w:sz w:val="36"/>
          <w:szCs w:val="36"/>
        </w:rPr>
        <w:t xml:space="preserve">11. Getting Started</w:t>
      </w:r>
    </w:p>
    <w:p>
      <w:pPr>
        <w:pBdr>
          <w:bottom w:val="single" w:color="00789A" w:sz="8" w:space="4"/>
        </w:pBdr>
        <w:spacing w:after="160" w:before="0"/>
      </w:pPr>
    </w:p>
    <w:p>
      <w:pPr>
        <w:spacing w:after="100" w:before="60"/>
      </w:pPr>
      <w:r>
        <w:rPr>
          <w:rFonts w:ascii="Arial" w:cs="Arial" w:eastAsia="Arial" w:hAnsi="Arial"/>
          <w:sz w:val="22"/>
          <w:szCs w:val="22"/>
        </w:rPr>
        <w:t xml:space="preserve">Onboarding a new MUCS client typically takes two to three weeks from contract signature. The onboarding process covers:</w:t>
      </w:r>
    </w:p>
    <w:p>
      <w:pPr>
        <w:spacing w:after="100" w:before="0"/>
      </w:pPr>
    </w:p>
    <w:p>
      <w:pPr>
        <w:spacing w:after="60" w:before="60"/>
      </w:pPr>
      <w:r>
        <w:rPr>
          <w:rFonts w:ascii="Arial" w:cs="Arial" w:eastAsia="Arial" w:hAnsi="Arial"/>
          <w:b/>
          <w:bCs/>
          <w:color w:val="00789A"/>
          <w:sz w:val="22"/>
          <w:szCs w:val="22"/>
        </w:rPr>
        <w:t xml:space="preserve">Week 1  </w:t>
      </w:r>
      <w:r>
        <w:rPr>
          <w:rFonts w:ascii="Arial" w:cs="Arial" w:eastAsia="Arial" w:hAnsi="Arial"/>
          <w:sz w:val="22"/>
          <w:szCs w:val="22"/>
        </w:rPr>
        <w:t xml:space="preserve">Kickoff meeting, team introductions, environment access provisioning, service portal setup</w:t>
      </w:r>
    </w:p>
    <w:p>
      <w:pPr>
        <w:spacing w:after="60" w:before="60"/>
      </w:pPr>
      <w:r>
        <w:rPr>
          <w:rFonts w:ascii="Arial" w:cs="Arial" w:eastAsia="Arial" w:hAnsi="Arial"/>
          <w:b/>
          <w:bCs/>
          <w:color w:val="00789A"/>
          <w:sz w:val="22"/>
          <w:szCs w:val="22"/>
        </w:rPr>
        <w:t xml:space="preserve">Week 2  </w:t>
      </w:r>
      <w:r>
        <w:rPr>
          <w:rFonts w:ascii="Arial" w:cs="Arial" w:eastAsia="Arial" w:hAnsi="Arial"/>
          <w:sz w:val="22"/>
          <w:szCs w:val="22"/>
        </w:rPr>
        <w:t xml:space="preserve">Environment discovery and documentation review, current issue triage, open ticket inventory</w:t>
      </w:r>
    </w:p>
    <w:p>
      <w:pPr>
        <w:spacing w:after="160" w:before="60"/>
      </w:pPr>
      <w:r>
        <w:rPr>
          <w:rFonts w:ascii="Arial" w:cs="Arial" w:eastAsia="Arial" w:hAnsi="Arial"/>
          <w:b/>
          <w:bCs/>
          <w:color w:val="00789A"/>
          <w:sz w:val="22"/>
          <w:szCs w:val="22"/>
        </w:rPr>
        <w:t xml:space="preserve">Week 3  </w:t>
      </w:r>
      <w:r>
        <w:rPr>
          <w:rFonts w:ascii="Arial" w:cs="Arial" w:eastAsia="Arial" w:hAnsi="Arial"/>
          <w:sz w:val="22"/>
          <w:szCs w:val="22"/>
        </w:rPr>
        <w:t xml:space="preserve">First operational sync, governance cadence agreed, reporting templates established, service is live</w:t>
      </w:r>
    </w:p>
    <w:p>
      <w:pPr>
        <w:spacing w:after="100" w:before="0"/>
      </w:pPr>
    </w:p>
    <w:p>
      <w:pPr>
        <w:spacing w:after="100" w:before="60"/>
      </w:pPr>
      <w:r>
        <w:rPr>
          <w:rFonts w:ascii="Arial" w:cs="Arial" w:eastAsia="Arial" w:hAnsi="Arial"/>
          <w:sz w:val="22"/>
          <w:szCs w:val="22"/>
        </w:rPr>
        <w:t xml:space="preserve">To begin the process, book a meeting at www.thecloudors.com/book-a-meeting or contact us at sales@thecloudors.com.</w:t>
      </w:r>
    </w:p>
    <w:p>
      <w:pPr>
        <w:spacing w:after="100" w:before="0"/>
      </w:pPr>
    </w:p>
    <w:p>
      <w:pPr>
        <w:spacing w:after="100" w:before="0"/>
      </w:pPr>
    </w:p>
    <w:p>
      <w:pPr>
        <w:pBdr>
          <w:top w:val="single" w:color="00789A" w:sz="8" w:space="8"/>
        </w:pBdr>
        <w:spacing w:after="60" w:before="400"/>
        <w:jc w:val="center"/>
      </w:pPr>
      <w:r>
        <w:rPr>
          <w:rFonts w:ascii="Arial" w:cs="Arial" w:eastAsia="Arial" w:hAnsi="Arial"/>
          <w:color w:val="444444"/>
          <w:sz w:val="20"/>
          <w:szCs w:val="20"/>
        </w:rPr>
        <w:t xml:space="preserve">The Cloudors  ·  Oracle Cloud Partner  ·  Egypt &amp; Saudi Arabia</w:t>
      </w:r>
    </w:p>
    <w:p>
      <w:pPr>
        <w:spacing w:after="60" w:before="0"/>
        <w:jc w:val="center"/>
      </w:pPr>
      <w:r>
        <w:rPr>
          <w:rFonts w:ascii="Arial" w:cs="Arial" w:eastAsia="Arial" w:hAnsi="Arial"/>
          <w:color w:val="00789A"/>
          <w:sz w:val="20"/>
          <w:szCs w:val="20"/>
        </w:rPr>
        <w:t xml:space="preserve">sales@thecloudors.com  ·  +966 538 192 590  ·  www.thecloudors.com</w:t>
      </w:r>
    </w:p>
    <w:p>
      <w:pPr>
        <w:spacing w:after="0" w:before="0"/>
        <w:jc w:val="center"/>
      </w:pPr>
      <w:r>
        <w:rPr>
          <w:rFonts w:ascii="Arial" w:cs="Arial" w:eastAsia="Arial" w:hAnsi="Arial"/>
          <w:i/>
          <w:iCs/>
          <w:color w:val="888888"/>
          <w:sz w:val="18"/>
          <w:szCs w:val="18"/>
        </w:rPr>
        <w:t xml:space="preserve">This document is confidential and intended for the recipient only.</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789A" w:sz="6" w:space="4"/>
      </w:pBdr>
      <w:tabs>
        <w:tab w:val="right" w:pos="9026"/>
      </w:tabs>
      <w:spacing w:after="0" w:before="80"/>
    </w:pPr>
    <w:r>
      <w:rPr>
        <w:rFonts w:ascii="Arial" w:cs="Arial" w:eastAsia="Arial" w:hAnsi="Arial"/>
        <w:color w:val="00789A"/>
        <w:sz w:val="18"/>
        <w:szCs w:val="18"/>
      </w:rPr>
      <w:t xml:space="preserve">www.thecloudors.com</w:t>
    </w:r>
    <w:r>
      <w:rPr>
        <w:rFonts w:ascii="Arial" w:cs="Arial" w:eastAsia="Arial" w:hAnsi="Arial"/>
        <w:sz w:val="18"/>
        <w:szCs w:val="18"/>
      </w:rPr>
      <w:t xml:space="preserve">	</w:t>
    </w:r>
    <w:fldSimple w:instr="[object Objec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789A" w:sz="6" w:space="4"/>
      </w:pBdr>
      <w:tabs>
        <w:tab w:val="right" w:pos="9026"/>
      </w:tabs>
      <w:spacing w:after="80" w:before="0"/>
    </w:pPr>
    <w:r>
      <w:rPr>
        <w:rFonts w:ascii="Arial" w:cs="Arial" w:eastAsia="Arial" w:hAnsi="Arial"/>
        <w:b/>
        <w:bCs/>
        <w:color w:val="00789A"/>
        <w:sz w:val="18"/>
        <w:szCs w:val="18"/>
      </w:rPr>
      <w:t xml:space="preserve">The Cloudors — Managed Unlimited Cloud Services (MUCS)</w:t>
    </w:r>
    <w:r>
      <w:rPr>
        <w:rFonts w:ascii="Arial" w:cs="Arial" w:eastAsia="Arial" w:hAnsi="Arial"/>
        <w:sz w:val="18"/>
        <w:szCs w:val="18"/>
      </w:rPr>
      <w:t xml:space="preserve">	</w:t>
    </w:r>
    <w:r>
      <w:rPr>
        <w:rFonts w:ascii="Arial" w:cs="Arial" w:eastAsia="Arial" w:hAnsi="Arial"/>
        <w:i/>
        <w:iCs/>
        <w:color w:val="888888"/>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480"/>
      <w:outlineLvl w:val="0"/>
    </w:pPr>
    <w:rPr>
      <w:rFonts w:ascii="Arial" w:cs="Arial" w:eastAsia="Arial" w:hAnsi="Arial"/>
      <w:b/>
      <w:bCs/>
      <w:color w:val="003366"/>
      <w:sz w:val="36"/>
      <w:szCs w:val="36"/>
    </w:rPr>
  </w:style>
  <w:style w:type="paragraph" w:styleId="Heading2">
    <w:name w:val="Heading 2"/>
    <w:basedOn w:val="Normal"/>
    <w:next w:val="Normal"/>
    <w:qFormat/>
    <w:pPr>
      <w:spacing w:after="80" w:before="320"/>
      <w:outlineLvl w:val="1"/>
    </w:pPr>
    <w:rPr>
      <w:rFonts w:ascii="Arial" w:cs="Arial" w:eastAsia="Arial" w:hAnsi="Arial"/>
      <w:b/>
      <w:bCs/>
      <w:color w:val="00789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2026-06-16T22:31:01.846Z</dcterms:created>
  <dcterms:modified xsi:type="dcterms:W3CDTF">2026-06-16T22:31:01.846Z</dcterms:modified>
</cp:coreProperties>
</file>

<file path=docProps/custom.xml><?xml version="1.0" encoding="utf-8"?>
<Properties xmlns="http://schemas.openxmlformats.org/officeDocument/2006/custom-properties" xmlns:vt="http://schemas.openxmlformats.org/officeDocument/2006/docPropsVTypes"/>
</file>